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DF54" w14:textId="77777777" w:rsidR="003C3957" w:rsidRPr="00D7560E" w:rsidRDefault="006C6E6E" w:rsidP="00DE0515">
      <w:pPr>
        <w:spacing w:before="120" w:after="12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pict w14:anchorId="21EEB6A6">
          <v:rect id="_x0000_i1025" style="width:0;height:.75pt" o:hralign="center" o:hrstd="t" o:hrnoshade="t" o:hr="t" fillcolor="#111" stroked="f"/>
        </w:pict>
      </w:r>
    </w:p>
    <w:p w14:paraId="40864A12" w14:textId="78FFFF06" w:rsidR="003C3957" w:rsidRPr="00D7560E" w:rsidRDefault="003C3957" w:rsidP="00DE0515">
      <w:pPr>
        <w:shd w:val="clear" w:color="auto" w:fill="FFFFFF"/>
        <w:spacing w:before="120" w:after="120" w:line="240" w:lineRule="auto"/>
        <w:jc w:val="center"/>
        <w:textAlignment w:val="baseline"/>
        <w:outlineLvl w:val="1"/>
        <w:rPr>
          <w:rFonts w:ascii="Garamond" w:eastAsia="Times New Roman" w:hAnsi="Garamond" w:cs="Arial"/>
          <w:b/>
          <w:bCs/>
          <w:color w:val="444444"/>
          <w:spacing w:val="-11"/>
          <w:sz w:val="51"/>
          <w:szCs w:val="51"/>
          <w:u w:val="single"/>
          <w:bdr w:val="none" w:sz="0" w:space="0" w:color="auto" w:frame="1"/>
          <w:lang w:val="es-ES" w:eastAsia="en-GB"/>
        </w:rPr>
      </w:pPr>
      <w:r w:rsidRPr="00D7560E">
        <w:rPr>
          <w:rFonts w:ascii="Garamond" w:eastAsia="Times New Roman" w:hAnsi="Garamond" w:cs="Arial"/>
          <w:noProof/>
          <w:color w:val="444444"/>
          <w:spacing w:val="-11"/>
          <w:sz w:val="51"/>
          <w:szCs w:val="51"/>
          <w:lang w:eastAsia="en-GB"/>
        </w:rPr>
        <mc:AlternateContent>
          <mc:Choice Requires="wps">
            <w:drawing>
              <wp:inline distT="0" distB="0" distL="0" distR="0" wp14:anchorId="5DE1CC27" wp14:editId="270B7CA2">
                <wp:extent cx="304800" cy="30480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0C997" id="Rectangl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D7560E">
        <w:rPr>
          <w:rFonts w:ascii="Garamond" w:eastAsia="Times New Roman" w:hAnsi="Garamond" w:cs="Arial"/>
          <w:color w:val="444444"/>
          <w:spacing w:val="-11"/>
          <w:sz w:val="51"/>
          <w:szCs w:val="51"/>
          <w:lang w:val="es-ES" w:eastAsia="en-GB"/>
        </w:rPr>
        <w:t> </w:t>
      </w:r>
      <w:r w:rsidRPr="00D7560E">
        <w:rPr>
          <w:rFonts w:ascii="Garamond" w:eastAsia="Times New Roman" w:hAnsi="Garamond" w:cs="Arial"/>
          <w:b/>
          <w:bCs/>
          <w:color w:val="444444"/>
          <w:spacing w:val="-11"/>
          <w:sz w:val="51"/>
          <w:szCs w:val="51"/>
          <w:u w:val="single"/>
          <w:bdr w:val="none" w:sz="0" w:space="0" w:color="auto" w:frame="1"/>
          <w:lang w:val="es-ES" w:eastAsia="en-GB"/>
        </w:rPr>
        <w:t xml:space="preserve">iCOn-MICs </w:t>
      </w:r>
      <w:r w:rsidR="002256BC" w:rsidRPr="00D7560E">
        <w:rPr>
          <w:rFonts w:ascii="Garamond" w:eastAsia="Times New Roman" w:hAnsi="Garamond" w:cs="Arial"/>
          <w:b/>
          <w:bCs/>
          <w:color w:val="444444"/>
          <w:spacing w:val="-11"/>
          <w:sz w:val="51"/>
          <w:szCs w:val="51"/>
          <w:u w:val="single"/>
          <w:bdr w:val="none" w:sz="0" w:space="0" w:color="auto" w:frame="1"/>
          <w:lang w:val="es-ES" w:eastAsia="en-GB"/>
        </w:rPr>
        <w:t>-</w:t>
      </w:r>
      <w:r w:rsidRPr="00D7560E">
        <w:rPr>
          <w:rFonts w:ascii="Garamond" w:eastAsia="Times New Roman" w:hAnsi="Garamond" w:cs="Arial"/>
          <w:b/>
          <w:bCs/>
          <w:color w:val="444444"/>
          <w:spacing w:val="-11"/>
          <w:sz w:val="51"/>
          <w:szCs w:val="51"/>
          <w:u w:val="single"/>
          <w:bdr w:val="none" w:sz="0" w:space="0" w:color="auto" w:frame="1"/>
          <w:lang w:val="es-ES" w:eastAsia="en-GB"/>
        </w:rPr>
        <w:t xml:space="preserve"> ¡Convocatoria abierta para becas STSM !</w:t>
      </w:r>
    </w:p>
    <w:p w14:paraId="455E555D" w14:textId="77777777" w:rsidR="002B58A3" w:rsidRPr="00D7560E" w:rsidRDefault="002B58A3" w:rsidP="00DE0515">
      <w:pPr>
        <w:shd w:val="clear" w:color="auto" w:fill="FFFFFF"/>
        <w:spacing w:before="120" w:after="120" w:line="240" w:lineRule="auto"/>
        <w:textAlignment w:val="baseline"/>
        <w:rPr>
          <w:rFonts w:ascii="Garamond" w:eastAsia="Times New Roman" w:hAnsi="Garamond" w:cs="Arial"/>
          <w:color w:val="111111"/>
          <w:sz w:val="27"/>
          <w:szCs w:val="27"/>
          <w:lang w:val="es-ES" w:eastAsia="en-GB"/>
        </w:rPr>
      </w:pPr>
    </w:p>
    <w:p w14:paraId="53D1D275" w14:textId="2BB4BE86" w:rsidR="00C50BAE" w:rsidRPr="00D7560E" w:rsidRDefault="002256BC" w:rsidP="00AE36DA">
      <w:pPr>
        <w:shd w:val="clear" w:color="auto" w:fill="FFFFFF"/>
        <w:spacing w:before="120" w:after="120" w:line="240" w:lineRule="auto"/>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 xml:space="preserve">El </w:t>
      </w:r>
      <w:r w:rsidR="007622F4" w:rsidRPr="00D7560E">
        <w:rPr>
          <w:rFonts w:ascii="Garamond" w:eastAsia="Times New Roman" w:hAnsi="Garamond" w:cs="Arial"/>
          <w:color w:val="111111"/>
          <w:sz w:val="27"/>
          <w:szCs w:val="27"/>
          <w:lang w:val="es-ES" w:eastAsia="en-GB"/>
        </w:rPr>
        <w:t xml:space="preserve">Comité de Atribución de Becas </w:t>
      </w:r>
      <w:r w:rsidRPr="00D7560E">
        <w:rPr>
          <w:rFonts w:ascii="Garamond" w:eastAsia="Times New Roman" w:hAnsi="Garamond" w:cs="Arial"/>
          <w:color w:val="111111"/>
          <w:sz w:val="27"/>
          <w:szCs w:val="27"/>
          <w:lang w:val="es-ES" w:eastAsia="en-GB"/>
        </w:rPr>
        <w:t xml:space="preserve">de la Acción COST CA19119, iCOn-MICs: Investigación sobre el Cómic y la Novela Gráfica en el Espacio Cultural Ibérico ofrece para su tercer Grant Period (GP3) </w:t>
      </w:r>
      <w:r w:rsidRPr="00D7560E">
        <w:rPr>
          <w:rFonts w:ascii="Garamond" w:eastAsia="Times New Roman" w:hAnsi="Garamond" w:cs="Arial"/>
          <w:b/>
          <w:bCs/>
          <w:color w:val="111111"/>
          <w:sz w:val="27"/>
          <w:szCs w:val="27"/>
          <w:lang w:val="es-ES" w:eastAsia="en-GB"/>
        </w:rPr>
        <w:t>Misiones Científicas de Corta Duración (STSMs)</w:t>
      </w:r>
      <w:r w:rsidRPr="00D7560E">
        <w:rPr>
          <w:rFonts w:ascii="Garamond" w:eastAsia="Times New Roman" w:hAnsi="Garamond" w:cs="Arial"/>
          <w:color w:val="111111"/>
          <w:sz w:val="27"/>
          <w:szCs w:val="27"/>
          <w:lang w:val="es-ES" w:eastAsia="en-GB"/>
        </w:rPr>
        <w:t xml:space="preserve"> proporcionando apoyo financiero a los solicitantes elegibles para llevar a cabo un proyecto que contribuya a los objetivos científicos de esta Acción. Esta ve</w:t>
      </w:r>
      <w:r w:rsidR="00F433F2" w:rsidRPr="00D7560E">
        <w:rPr>
          <w:rFonts w:ascii="Garamond" w:eastAsia="Times New Roman" w:hAnsi="Garamond" w:cs="Arial"/>
          <w:color w:val="111111"/>
          <w:sz w:val="27"/>
          <w:szCs w:val="27"/>
          <w:lang w:val="es-ES" w:eastAsia="en-GB"/>
        </w:rPr>
        <w:t>z</w:t>
      </w:r>
      <w:r w:rsidR="00C0028C" w:rsidRPr="00D7560E">
        <w:rPr>
          <w:rFonts w:ascii="Garamond" w:eastAsia="Times New Roman" w:hAnsi="Garamond" w:cs="Arial"/>
          <w:color w:val="111111"/>
          <w:sz w:val="27"/>
          <w:szCs w:val="27"/>
          <w:lang w:val="es-ES" w:eastAsia="en-GB"/>
        </w:rPr>
        <w:t xml:space="preserve">, </w:t>
      </w:r>
      <w:r w:rsidRPr="00D7560E">
        <w:rPr>
          <w:rFonts w:ascii="Garamond" w:eastAsia="Times New Roman" w:hAnsi="Garamond" w:cs="Arial"/>
          <w:color w:val="111111"/>
          <w:sz w:val="27"/>
          <w:szCs w:val="27"/>
          <w:lang w:val="es-ES" w:eastAsia="en-GB"/>
        </w:rPr>
        <w:t>no habrá fecha límite para la presentación de solicitudes</w:t>
      </w:r>
      <w:r w:rsidR="00F433F2" w:rsidRPr="00D7560E">
        <w:rPr>
          <w:rFonts w:ascii="Garamond" w:eastAsia="Times New Roman" w:hAnsi="Garamond" w:cs="Arial"/>
          <w:color w:val="111111"/>
          <w:sz w:val="27"/>
          <w:szCs w:val="27"/>
          <w:lang w:val="es-ES" w:eastAsia="en-GB"/>
        </w:rPr>
        <w:t>. El c</w:t>
      </w:r>
      <w:r w:rsidRPr="00D7560E">
        <w:rPr>
          <w:rFonts w:ascii="Garamond" w:eastAsia="Times New Roman" w:hAnsi="Garamond" w:cs="Arial"/>
          <w:color w:val="111111"/>
          <w:sz w:val="27"/>
          <w:szCs w:val="27"/>
          <w:lang w:val="es-ES" w:eastAsia="en-GB"/>
        </w:rPr>
        <w:t>omité aceptará solicitudes de forma continua hasta el final del GP3.</w:t>
      </w:r>
    </w:p>
    <w:p w14:paraId="4810F5F4" w14:textId="7E6B4C23" w:rsidR="002256BC" w:rsidRPr="00D7560E" w:rsidRDefault="00C50BAE" w:rsidP="00AE36DA">
      <w:pPr>
        <w:shd w:val="clear" w:color="auto" w:fill="FFFFFF"/>
        <w:spacing w:before="120" w:after="120" w:line="240" w:lineRule="auto"/>
        <w:textAlignment w:val="baseline"/>
        <w:rPr>
          <w:rFonts w:ascii="Garamond" w:eastAsia="Times New Roman" w:hAnsi="Garamond" w:cs="Arial"/>
          <w:b/>
          <w:bCs/>
          <w:color w:val="111111"/>
          <w:sz w:val="27"/>
          <w:szCs w:val="27"/>
          <w:lang w:val="es-ES" w:eastAsia="en-GB"/>
        </w:rPr>
      </w:pPr>
      <w:r w:rsidRPr="00D7560E">
        <w:rPr>
          <w:rFonts w:ascii="Garamond" w:eastAsia="Times New Roman" w:hAnsi="Garamond" w:cs="Arial"/>
          <w:b/>
          <w:bCs/>
          <w:color w:val="111111"/>
          <w:sz w:val="27"/>
          <w:szCs w:val="27"/>
          <w:lang w:val="es-ES" w:eastAsia="en-GB"/>
        </w:rPr>
        <w:t xml:space="preserve">Nótese que, de acuerdo con la apertura de iCOn-MICs a </w:t>
      </w:r>
      <w:r w:rsidR="00F433F2" w:rsidRPr="00D7560E">
        <w:rPr>
          <w:rFonts w:ascii="Garamond" w:eastAsia="Times New Roman" w:hAnsi="Garamond" w:cs="Arial"/>
          <w:b/>
          <w:bCs/>
          <w:color w:val="111111"/>
          <w:sz w:val="27"/>
          <w:szCs w:val="27"/>
          <w:lang w:val="es-ES" w:eastAsia="en-GB"/>
        </w:rPr>
        <w:t>América Latina</w:t>
      </w:r>
      <w:r w:rsidRPr="00D7560E">
        <w:rPr>
          <w:rFonts w:ascii="Garamond" w:eastAsia="Times New Roman" w:hAnsi="Garamond" w:cs="Arial"/>
          <w:b/>
          <w:bCs/>
          <w:color w:val="111111"/>
          <w:sz w:val="27"/>
          <w:szCs w:val="27"/>
          <w:lang w:val="es-ES" w:eastAsia="en-GB"/>
        </w:rPr>
        <w:t>, daremos preferencia (aunque no exclusividad) para este GP3 a las misiones dentro de nuestros países miembros como Chile, Perú, México y Brasil.</w:t>
      </w:r>
    </w:p>
    <w:p w14:paraId="4DB87D63" w14:textId="77777777" w:rsidR="002256BC" w:rsidRPr="00D7560E" w:rsidRDefault="002256BC" w:rsidP="00DE0515">
      <w:pPr>
        <w:shd w:val="clear" w:color="auto" w:fill="FFFFFF"/>
        <w:spacing w:before="120" w:after="120" w:line="240" w:lineRule="auto"/>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 xml:space="preserve">iCOn-MICs cuenta con cinco grupos de trabajo: </w:t>
      </w:r>
    </w:p>
    <w:p w14:paraId="39AF2072" w14:textId="796A7AC4" w:rsidR="002256BC" w:rsidRPr="00D7560E" w:rsidRDefault="002B58A3">
      <w:pPr>
        <w:pStyle w:val="ListParagraph"/>
        <w:numPr>
          <w:ilvl w:val="0"/>
          <w:numId w:val="56"/>
        </w:numPr>
        <w:shd w:val="clear" w:color="auto" w:fill="FFFFFF"/>
        <w:spacing w:before="120" w:after="120" w:line="240" w:lineRule="auto"/>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WG</w:t>
      </w:r>
      <w:r w:rsidR="002256BC" w:rsidRPr="00D7560E">
        <w:rPr>
          <w:rFonts w:ascii="Garamond" w:eastAsia="Times New Roman" w:hAnsi="Garamond" w:cs="Arial"/>
          <w:color w:val="111111"/>
          <w:sz w:val="27"/>
          <w:szCs w:val="27"/>
          <w:lang w:val="es-ES" w:eastAsia="en-GB"/>
        </w:rPr>
        <w:t>1: Aproximación histórica al patrimonio cultural del cómic ibérico</w:t>
      </w:r>
    </w:p>
    <w:p w14:paraId="0E7C9B52" w14:textId="38A5E75B" w:rsidR="002256BC" w:rsidRPr="00D7560E" w:rsidRDefault="002B58A3">
      <w:pPr>
        <w:pStyle w:val="ListParagraph"/>
        <w:numPr>
          <w:ilvl w:val="0"/>
          <w:numId w:val="56"/>
        </w:numPr>
        <w:shd w:val="clear" w:color="auto" w:fill="FFFFFF"/>
        <w:spacing w:before="120" w:after="120" w:line="240" w:lineRule="auto"/>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WG</w:t>
      </w:r>
      <w:r w:rsidR="002256BC" w:rsidRPr="00D7560E">
        <w:rPr>
          <w:rFonts w:ascii="Garamond" w:eastAsia="Times New Roman" w:hAnsi="Garamond" w:cs="Arial"/>
          <w:color w:val="111111"/>
          <w:sz w:val="27"/>
          <w:szCs w:val="27"/>
          <w:lang w:val="es-ES" w:eastAsia="en-GB"/>
        </w:rPr>
        <w:t>2: Las metamorfosis del cómic ibérico contemporáneo</w:t>
      </w:r>
    </w:p>
    <w:p w14:paraId="5D5F4D76" w14:textId="30995903" w:rsidR="002256BC" w:rsidRPr="00D7560E" w:rsidRDefault="002B58A3">
      <w:pPr>
        <w:pStyle w:val="ListParagraph"/>
        <w:numPr>
          <w:ilvl w:val="0"/>
          <w:numId w:val="56"/>
        </w:numPr>
        <w:shd w:val="clear" w:color="auto" w:fill="FFFFFF"/>
        <w:spacing w:before="120" w:after="120" w:line="240" w:lineRule="auto"/>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WG</w:t>
      </w:r>
      <w:r w:rsidR="002256BC" w:rsidRPr="00D7560E">
        <w:rPr>
          <w:rFonts w:ascii="Garamond" w:eastAsia="Times New Roman" w:hAnsi="Garamond" w:cs="Arial"/>
          <w:color w:val="111111"/>
          <w:sz w:val="27"/>
          <w:szCs w:val="27"/>
          <w:lang w:val="es-ES" w:eastAsia="en-GB"/>
        </w:rPr>
        <w:t>3: El cómic ibérico como forma de diálogo intercultural</w:t>
      </w:r>
    </w:p>
    <w:p w14:paraId="2C2B9C4F" w14:textId="2E325B97" w:rsidR="002256BC" w:rsidRPr="00D7560E" w:rsidRDefault="002B58A3">
      <w:pPr>
        <w:pStyle w:val="ListParagraph"/>
        <w:numPr>
          <w:ilvl w:val="0"/>
          <w:numId w:val="56"/>
        </w:numPr>
        <w:shd w:val="clear" w:color="auto" w:fill="FFFFFF"/>
        <w:spacing w:before="120" w:after="120" w:line="240" w:lineRule="auto"/>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WG</w:t>
      </w:r>
      <w:r w:rsidR="002256BC" w:rsidRPr="00D7560E">
        <w:rPr>
          <w:rFonts w:ascii="Garamond" w:eastAsia="Times New Roman" w:hAnsi="Garamond" w:cs="Arial"/>
          <w:color w:val="111111"/>
          <w:sz w:val="27"/>
          <w:szCs w:val="27"/>
          <w:lang w:val="es-ES" w:eastAsia="en-GB"/>
        </w:rPr>
        <w:t>4: Tendiendo puentes para la transferencia investigación-sociedad-industria</w:t>
      </w:r>
    </w:p>
    <w:p w14:paraId="20184084" w14:textId="524587CA" w:rsidR="002256BC" w:rsidRPr="00D7560E" w:rsidRDefault="002B58A3">
      <w:pPr>
        <w:pStyle w:val="ListParagraph"/>
        <w:numPr>
          <w:ilvl w:val="0"/>
          <w:numId w:val="56"/>
        </w:numPr>
        <w:shd w:val="clear" w:color="auto" w:fill="FFFFFF"/>
        <w:spacing w:before="120" w:after="120" w:line="240" w:lineRule="auto"/>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WG</w:t>
      </w:r>
      <w:r w:rsidR="00F433F2" w:rsidRPr="00D7560E">
        <w:rPr>
          <w:rFonts w:ascii="Garamond" w:eastAsia="Times New Roman" w:hAnsi="Garamond" w:cs="Arial"/>
          <w:color w:val="111111"/>
          <w:sz w:val="27"/>
          <w:szCs w:val="27"/>
          <w:lang w:val="es-ES" w:eastAsia="en-GB"/>
        </w:rPr>
        <w:t xml:space="preserve"> 5</w:t>
      </w:r>
      <w:r w:rsidR="002256BC" w:rsidRPr="00D7560E">
        <w:rPr>
          <w:rFonts w:ascii="Garamond" w:eastAsia="Times New Roman" w:hAnsi="Garamond" w:cs="Arial"/>
          <w:color w:val="111111"/>
          <w:sz w:val="27"/>
          <w:szCs w:val="27"/>
          <w:lang w:val="es-ES" w:eastAsia="en-GB"/>
        </w:rPr>
        <w:t>: El cómic como herramienta de enseñanza, aprendizaje y comunicación</w:t>
      </w:r>
    </w:p>
    <w:p w14:paraId="20F73B3D" w14:textId="4427E455" w:rsidR="0023053D" w:rsidRPr="00D7560E" w:rsidRDefault="002256BC" w:rsidP="00CC5B42">
      <w:pPr>
        <w:shd w:val="clear" w:color="auto" w:fill="FFFFFF"/>
        <w:spacing w:before="120" w:after="120" w:line="240" w:lineRule="auto"/>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 xml:space="preserve">También tenemos un WG transversal, </w:t>
      </w:r>
      <w:r w:rsidR="002B58A3" w:rsidRPr="00D7560E">
        <w:rPr>
          <w:rFonts w:ascii="Garamond" w:eastAsia="Times New Roman" w:hAnsi="Garamond" w:cs="Arial"/>
          <w:color w:val="111111"/>
          <w:sz w:val="27"/>
          <w:szCs w:val="27"/>
          <w:lang w:val="es-ES" w:eastAsia="en-GB"/>
        </w:rPr>
        <w:t>‘</w:t>
      </w:r>
      <w:r w:rsidRPr="00D7560E">
        <w:rPr>
          <w:rFonts w:ascii="Garamond" w:eastAsia="Times New Roman" w:hAnsi="Garamond" w:cs="Arial"/>
          <w:color w:val="111111"/>
          <w:sz w:val="27"/>
          <w:szCs w:val="27"/>
          <w:lang w:val="es-ES" w:eastAsia="en-GB"/>
        </w:rPr>
        <w:t>autorAs</w:t>
      </w:r>
      <w:r w:rsidR="002B58A3" w:rsidRPr="00D7560E">
        <w:rPr>
          <w:rFonts w:ascii="Garamond" w:eastAsia="Times New Roman" w:hAnsi="Garamond" w:cs="Arial"/>
          <w:color w:val="111111"/>
          <w:sz w:val="27"/>
          <w:szCs w:val="27"/>
          <w:lang w:val="es-ES" w:eastAsia="en-GB"/>
        </w:rPr>
        <w:t>’</w:t>
      </w:r>
      <w:r w:rsidRPr="00D7560E">
        <w:rPr>
          <w:rFonts w:ascii="Garamond" w:eastAsia="Times New Roman" w:hAnsi="Garamond" w:cs="Arial"/>
          <w:color w:val="111111"/>
          <w:sz w:val="27"/>
          <w:szCs w:val="27"/>
          <w:lang w:val="es-ES" w:eastAsia="en-GB"/>
        </w:rPr>
        <w:t xml:space="preserve">, </w:t>
      </w:r>
      <w:r w:rsidR="00F433F2" w:rsidRPr="00D7560E">
        <w:rPr>
          <w:rFonts w:ascii="Garamond" w:eastAsia="Times New Roman" w:hAnsi="Garamond" w:cs="Arial"/>
          <w:color w:val="111111"/>
          <w:sz w:val="27"/>
          <w:szCs w:val="27"/>
          <w:lang w:val="es-ES" w:eastAsia="en-GB"/>
        </w:rPr>
        <w:t xml:space="preserve">WGAS </w:t>
      </w:r>
      <w:r w:rsidR="00C66F54" w:rsidRPr="00D7560E">
        <w:rPr>
          <w:rFonts w:ascii="Garamond" w:eastAsia="Times New Roman" w:hAnsi="Garamond" w:cs="Arial"/>
          <w:color w:val="111111"/>
          <w:sz w:val="27"/>
          <w:szCs w:val="27"/>
          <w:lang w:val="es-ES" w:eastAsia="en-GB"/>
        </w:rPr>
        <w:t xml:space="preserve">dedicado al estudio del cómic producido por mujeres en el área cultural ibérica, </w:t>
      </w:r>
      <w:r w:rsidRPr="00D7560E">
        <w:rPr>
          <w:rFonts w:ascii="Garamond" w:eastAsia="Times New Roman" w:hAnsi="Garamond" w:cs="Arial"/>
          <w:color w:val="111111"/>
          <w:sz w:val="27"/>
          <w:szCs w:val="27"/>
          <w:lang w:val="es-ES" w:eastAsia="en-GB"/>
        </w:rPr>
        <w:t>al que uno puede unirse después de apuntarse a uno de los WGs principales.</w:t>
      </w:r>
    </w:p>
    <w:p w14:paraId="4715FAD9" w14:textId="6827BC5B" w:rsidR="00E644CA" w:rsidRPr="00D7560E" w:rsidRDefault="003C3957" w:rsidP="00AE36DA">
      <w:pPr>
        <w:shd w:val="clear" w:color="auto" w:fill="FFFFFF"/>
        <w:spacing w:before="120" w:after="120" w:line="240" w:lineRule="auto"/>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Por favor, diríjase a la pestaña “</w:t>
      </w:r>
      <w:r w:rsidR="00C50BAE" w:rsidRPr="00D7560E">
        <w:rPr>
          <w:rFonts w:ascii="Garamond" w:eastAsia="Times New Roman" w:hAnsi="Garamond" w:cs="Arial"/>
          <w:color w:val="111111"/>
          <w:sz w:val="27"/>
          <w:szCs w:val="27"/>
          <w:lang w:val="es-ES" w:eastAsia="en-GB"/>
        </w:rPr>
        <w:t>Working Groups</w:t>
      </w:r>
      <w:r w:rsidRPr="00D7560E">
        <w:rPr>
          <w:rFonts w:ascii="Garamond" w:eastAsia="Times New Roman" w:hAnsi="Garamond" w:cs="Arial"/>
          <w:color w:val="111111"/>
          <w:sz w:val="27"/>
          <w:szCs w:val="27"/>
          <w:lang w:val="es-ES" w:eastAsia="en-GB"/>
        </w:rPr>
        <w:t xml:space="preserve">” en la página web de iCOn-MICs </w:t>
      </w:r>
      <w:r w:rsidR="0023053D" w:rsidRPr="00D7560E">
        <w:rPr>
          <w:rFonts w:ascii="Garamond" w:eastAsia="Times New Roman" w:hAnsi="Garamond" w:cs="Arial"/>
          <w:color w:val="111111"/>
          <w:sz w:val="27"/>
          <w:szCs w:val="27"/>
          <w:lang w:val="es-ES" w:eastAsia="en-GB"/>
        </w:rPr>
        <w:t>(</w:t>
      </w:r>
      <w:hyperlink r:id="rId5" w:history="1">
        <w:r w:rsidR="0023053D" w:rsidRPr="00D7560E">
          <w:rPr>
            <w:rFonts w:ascii="Garamond" w:eastAsia="Times New Roman" w:hAnsi="Garamond" w:cs="Arial"/>
            <w:color w:val="0A4E8F"/>
            <w:sz w:val="27"/>
            <w:szCs w:val="27"/>
            <w:u w:val="single"/>
            <w:bdr w:val="none" w:sz="0" w:space="0" w:color="auto" w:frame="1"/>
            <w:lang w:val="es-ES" w:eastAsia="en-GB"/>
          </w:rPr>
          <w:t>https://iconmics.hypotheses.org/</w:t>
        </w:r>
      </w:hyperlink>
      <w:r w:rsidR="0023053D" w:rsidRPr="00D7560E">
        <w:rPr>
          <w:rFonts w:ascii="Garamond" w:eastAsia="Times New Roman" w:hAnsi="Garamond" w:cs="Arial"/>
          <w:color w:val="111111"/>
          <w:sz w:val="27"/>
          <w:szCs w:val="27"/>
          <w:lang w:val="es-ES" w:eastAsia="en-GB"/>
        </w:rPr>
        <w:t>)</w:t>
      </w:r>
      <w:r w:rsidRPr="00D7560E">
        <w:rPr>
          <w:rFonts w:ascii="Garamond" w:eastAsia="Times New Roman" w:hAnsi="Garamond" w:cs="Arial"/>
          <w:color w:val="111111"/>
          <w:sz w:val="27"/>
          <w:szCs w:val="27"/>
          <w:lang w:val="es-ES" w:eastAsia="en-GB"/>
        </w:rPr>
        <w:t>para obtener más información sobre cada grupo de trabajo y considere en qué grupo o grupos encaja mejor su proyecto.</w:t>
      </w:r>
      <w:r w:rsidR="0023053D" w:rsidRPr="00D7560E">
        <w:rPr>
          <w:rFonts w:ascii="Garamond" w:eastAsia="Times New Roman" w:hAnsi="Garamond" w:cs="Arial"/>
          <w:color w:val="111111"/>
          <w:sz w:val="27"/>
          <w:szCs w:val="27"/>
          <w:lang w:val="es-ES" w:eastAsia="en-GB"/>
        </w:rPr>
        <w:t xml:space="preserve"> </w:t>
      </w:r>
      <w:r w:rsidRPr="00D7560E">
        <w:rPr>
          <w:rFonts w:ascii="Garamond" w:eastAsia="Times New Roman" w:hAnsi="Garamond" w:cs="Arial"/>
          <w:color w:val="111111"/>
          <w:sz w:val="27"/>
          <w:szCs w:val="27"/>
          <w:lang w:val="es-ES" w:eastAsia="en-GB"/>
        </w:rPr>
        <w:t>Tenga también en cuenta que las subvenciones STSM son una contribución fija basada en el presupuesto del solicitante y en la evaluación de su solicitud. Esta subvención no cubre necesariamente todos los gastos, ya que sólo pretende contribuir a las costas de viaje y estancia.</w:t>
      </w:r>
    </w:p>
    <w:p w14:paraId="34EAC3A0" w14:textId="66C46121" w:rsidR="003C3957" w:rsidRPr="00D7560E" w:rsidRDefault="003C3957" w:rsidP="00DE0515">
      <w:pPr>
        <w:shd w:val="clear" w:color="auto" w:fill="FFFFFF"/>
        <w:spacing w:before="120" w:after="120" w:line="240" w:lineRule="auto"/>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b/>
          <w:bCs/>
          <w:color w:val="111111"/>
          <w:sz w:val="27"/>
          <w:szCs w:val="27"/>
          <w:bdr w:val="none" w:sz="0" w:space="0" w:color="auto" w:frame="1"/>
          <w:lang w:val="es-ES" w:eastAsia="en-GB"/>
        </w:rPr>
        <w:t>Las becas STSM están abiertas a todos los investigadores de las instituciones y países que participan en la Acción COST iCOn-MICs o instituciones aprobadas. Las STSMs deben ser realizadas entre países COST –los solicitantes no pueden solicitar una STSM en sus propios países.</w:t>
      </w:r>
    </w:p>
    <w:p w14:paraId="6A099466" w14:textId="77777777" w:rsidR="000A67A2" w:rsidRPr="00D7560E" w:rsidRDefault="000A67A2" w:rsidP="00DE0515">
      <w:pPr>
        <w:shd w:val="clear" w:color="auto" w:fill="FFFFFF"/>
        <w:spacing w:before="120" w:after="120" w:line="240" w:lineRule="auto"/>
        <w:textAlignment w:val="baseline"/>
        <w:rPr>
          <w:rFonts w:ascii="Garamond" w:eastAsia="Times New Roman" w:hAnsi="Garamond" w:cs="Arial"/>
          <w:color w:val="111111"/>
          <w:sz w:val="27"/>
          <w:szCs w:val="27"/>
          <w:lang w:val="es-ES" w:eastAsia="en-GB"/>
        </w:rPr>
      </w:pPr>
    </w:p>
    <w:p w14:paraId="0FDAFF18" w14:textId="3813C065" w:rsidR="0084395B" w:rsidRPr="00D7560E" w:rsidRDefault="003C3957" w:rsidP="00DE0515">
      <w:pPr>
        <w:shd w:val="clear" w:color="auto" w:fill="FFFFFF"/>
        <w:spacing w:before="120" w:after="120" w:line="240" w:lineRule="auto"/>
        <w:textAlignment w:val="baseline"/>
        <w:rPr>
          <w:rFonts w:ascii="Garamond" w:eastAsia="Times New Roman" w:hAnsi="Garamond" w:cs="Arial"/>
          <w:b/>
          <w:bCs/>
          <w:color w:val="111111"/>
          <w:sz w:val="27"/>
          <w:szCs w:val="27"/>
          <w:bdr w:val="none" w:sz="0" w:space="0" w:color="auto" w:frame="1"/>
          <w:lang w:eastAsia="en-GB"/>
        </w:rPr>
      </w:pPr>
      <w:proofErr w:type="spellStart"/>
      <w:r w:rsidRPr="00D7560E">
        <w:rPr>
          <w:rFonts w:ascii="Garamond" w:eastAsia="Times New Roman" w:hAnsi="Garamond" w:cs="Arial"/>
          <w:b/>
          <w:bCs/>
          <w:color w:val="111111"/>
          <w:sz w:val="27"/>
          <w:szCs w:val="27"/>
          <w:bdr w:val="none" w:sz="0" w:space="0" w:color="auto" w:frame="1"/>
          <w:lang w:eastAsia="en-GB"/>
        </w:rPr>
        <w:t>Normas</w:t>
      </w:r>
      <w:proofErr w:type="spellEnd"/>
      <w:r w:rsidRPr="00D7560E">
        <w:rPr>
          <w:rFonts w:ascii="Garamond" w:eastAsia="Times New Roman" w:hAnsi="Garamond" w:cs="Arial"/>
          <w:b/>
          <w:bCs/>
          <w:color w:val="111111"/>
          <w:sz w:val="27"/>
          <w:szCs w:val="27"/>
          <w:bdr w:val="none" w:sz="0" w:space="0" w:color="auto" w:frame="1"/>
          <w:lang w:eastAsia="en-GB"/>
        </w:rPr>
        <w:t xml:space="preserve"> </w:t>
      </w:r>
      <w:proofErr w:type="spellStart"/>
      <w:r w:rsidR="0084395B" w:rsidRPr="00D7560E">
        <w:rPr>
          <w:rFonts w:ascii="Garamond" w:eastAsia="Times New Roman" w:hAnsi="Garamond" w:cs="Arial"/>
          <w:b/>
          <w:bCs/>
          <w:color w:val="111111"/>
          <w:sz w:val="27"/>
          <w:szCs w:val="27"/>
          <w:bdr w:val="none" w:sz="0" w:space="0" w:color="auto" w:frame="1"/>
          <w:lang w:eastAsia="en-GB"/>
        </w:rPr>
        <w:t>general</w:t>
      </w:r>
      <w:r w:rsidR="00F433F2" w:rsidRPr="00D7560E">
        <w:rPr>
          <w:rFonts w:ascii="Garamond" w:eastAsia="Times New Roman" w:hAnsi="Garamond" w:cs="Arial"/>
          <w:b/>
          <w:bCs/>
          <w:color w:val="111111"/>
          <w:sz w:val="27"/>
          <w:szCs w:val="27"/>
          <w:bdr w:val="none" w:sz="0" w:space="0" w:color="auto" w:frame="1"/>
          <w:lang w:eastAsia="en-GB"/>
        </w:rPr>
        <w:t>e</w:t>
      </w:r>
      <w:r w:rsidR="0084395B" w:rsidRPr="00D7560E">
        <w:rPr>
          <w:rFonts w:ascii="Garamond" w:eastAsia="Times New Roman" w:hAnsi="Garamond" w:cs="Arial"/>
          <w:b/>
          <w:bCs/>
          <w:color w:val="111111"/>
          <w:sz w:val="27"/>
          <w:szCs w:val="27"/>
          <w:bdr w:val="none" w:sz="0" w:space="0" w:color="auto" w:frame="1"/>
          <w:lang w:eastAsia="en-GB"/>
        </w:rPr>
        <w:t>s</w:t>
      </w:r>
      <w:proofErr w:type="spellEnd"/>
    </w:p>
    <w:p w14:paraId="47153B19" w14:textId="77777777" w:rsidR="003C3957" w:rsidRPr="00D7560E" w:rsidRDefault="003C3957">
      <w:pPr>
        <w:numPr>
          <w:ilvl w:val="0"/>
          <w:numId w:val="19"/>
        </w:numPr>
        <w:shd w:val="clear" w:color="auto" w:fill="FFFFFF"/>
        <w:spacing w:before="120" w:after="120" w:line="240" w:lineRule="auto"/>
        <w:ind w:left="1395"/>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Los solicitantes deben leer atentamente las normas de financiación detalladas en la sección 8 del </w:t>
      </w:r>
      <w:hyperlink r:id="rId6" w:tgtFrame="_blank" w:history="1">
        <w:r w:rsidRPr="00D7560E">
          <w:rPr>
            <w:rFonts w:ascii="Garamond" w:eastAsia="Times New Roman" w:hAnsi="Garamond" w:cs="Arial"/>
            <w:color w:val="0A4E8F"/>
            <w:sz w:val="27"/>
            <w:szCs w:val="27"/>
            <w:u w:val="single"/>
            <w:bdr w:val="none" w:sz="0" w:space="0" w:color="auto" w:frame="1"/>
            <w:lang w:val="es-ES" w:eastAsia="en-GB"/>
          </w:rPr>
          <w:t>COST Vademecum</w:t>
        </w:r>
      </w:hyperlink>
      <w:r w:rsidRPr="00D7560E">
        <w:rPr>
          <w:rFonts w:ascii="Garamond" w:eastAsia="Times New Roman" w:hAnsi="Garamond" w:cs="Arial"/>
          <w:color w:val="111111"/>
          <w:sz w:val="27"/>
          <w:szCs w:val="27"/>
          <w:lang w:val="es-ES" w:eastAsia="en-GB"/>
        </w:rPr>
        <w:t xml:space="preserve">, incluidas las normas </w:t>
      </w:r>
      <w:r w:rsidRPr="00D7560E">
        <w:rPr>
          <w:rFonts w:ascii="Garamond" w:eastAsia="Times New Roman" w:hAnsi="Garamond" w:cs="Arial"/>
          <w:color w:val="111111"/>
          <w:sz w:val="27"/>
          <w:szCs w:val="27"/>
          <w:lang w:val="es-ES" w:eastAsia="en-GB"/>
        </w:rPr>
        <w:lastRenderedPageBreak/>
        <w:t>de admisibilidad, la evaluación y selección de los solicitantes, los criterios para las STSM y la ayuda financiera. También animamos a los solicitantes a leer estos otros documentos relevantes: la Guía del usuario de STSM, el documento sobre la gestión de las solicitudes de viaje y la Norma de reembolso de viajes.</w:t>
      </w:r>
    </w:p>
    <w:p w14:paraId="1488F9FD" w14:textId="4E0731CB" w:rsidR="003C3957" w:rsidRPr="00D7560E" w:rsidRDefault="003C3957">
      <w:pPr>
        <w:numPr>
          <w:ilvl w:val="0"/>
          <w:numId w:val="20"/>
        </w:numPr>
        <w:shd w:val="clear" w:color="auto" w:fill="FFFFFF"/>
        <w:spacing w:before="120" w:after="120" w:line="240" w:lineRule="auto"/>
        <w:ind w:left="1395"/>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Los solicitantes deben presentar su solicitud a través de la plataforma e-COST, completando, enviando y descargando su solicitud STSM en línea en </w:t>
      </w:r>
      <w:hyperlink r:id="rId7" w:history="1">
        <w:r w:rsidR="00646980" w:rsidRPr="00D7560E">
          <w:rPr>
            <w:rStyle w:val="Hyperlink"/>
            <w:rFonts w:ascii="Garamond" w:eastAsia="Times New Roman" w:hAnsi="Garamond" w:cs="Arial"/>
            <w:b/>
            <w:bCs/>
            <w:sz w:val="27"/>
            <w:szCs w:val="27"/>
            <w:bdr w:val="none" w:sz="0" w:space="0" w:color="auto" w:frame="1"/>
            <w:lang w:val="es-ES" w:eastAsia="en-GB"/>
          </w:rPr>
          <w:t>https://e-services.cost.eu/activity/grants</w:t>
        </w:r>
      </w:hyperlink>
      <w:r w:rsidR="00646980" w:rsidRPr="00D7560E">
        <w:rPr>
          <w:rFonts w:ascii="Garamond" w:eastAsia="Times New Roman" w:hAnsi="Garamond" w:cs="Arial"/>
          <w:color w:val="111111"/>
          <w:sz w:val="27"/>
          <w:szCs w:val="27"/>
          <w:bdr w:val="none" w:sz="0" w:space="0" w:color="auto" w:frame="1"/>
          <w:lang w:val="es-ES" w:eastAsia="en-GB"/>
        </w:rPr>
        <w:t>;</w:t>
      </w:r>
      <w:r w:rsidR="00646980" w:rsidRPr="00D7560E">
        <w:rPr>
          <w:rFonts w:ascii="Garamond" w:eastAsia="Times New Roman" w:hAnsi="Garamond" w:cs="Arial"/>
          <w:color w:val="111111"/>
          <w:sz w:val="27"/>
          <w:szCs w:val="27"/>
          <w:lang w:val="es-ES" w:eastAsia="en-GB"/>
        </w:rPr>
        <w:t xml:space="preserve"> durante e</w:t>
      </w:r>
      <w:r w:rsidR="00485398" w:rsidRPr="00D7560E">
        <w:rPr>
          <w:rFonts w:ascii="Garamond" w:eastAsia="Times New Roman" w:hAnsi="Garamond" w:cs="Arial"/>
          <w:color w:val="111111"/>
          <w:sz w:val="27"/>
          <w:szCs w:val="27"/>
          <w:lang w:val="es-ES" w:eastAsia="en-GB"/>
        </w:rPr>
        <w:t>ste</w:t>
      </w:r>
      <w:r w:rsidR="00646980" w:rsidRPr="00D7560E">
        <w:rPr>
          <w:rFonts w:ascii="Garamond" w:eastAsia="Times New Roman" w:hAnsi="Garamond" w:cs="Arial"/>
          <w:color w:val="111111"/>
          <w:sz w:val="27"/>
          <w:szCs w:val="27"/>
          <w:lang w:val="es-ES" w:eastAsia="en-GB"/>
        </w:rPr>
        <w:t xml:space="preserve"> proceso, los solicitantes deben preparar un CV actualizado, una carta de aceptación por parte de la institución de  acogimiento y una carta de apoyo de su institución de origen. </w:t>
      </w:r>
      <w:r w:rsidRPr="00D7560E">
        <w:rPr>
          <w:rFonts w:ascii="Garamond" w:eastAsia="Times New Roman" w:hAnsi="Garamond" w:cs="Arial"/>
          <w:color w:val="111111"/>
          <w:sz w:val="27"/>
          <w:szCs w:val="27"/>
          <w:lang w:val="es-ES" w:eastAsia="en-GB"/>
        </w:rPr>
        <w:t>Si aún no tiene una cuenta en e-COST, primero debe “crear una cuenta”, lo que incluye proporcionar los datos de la cuenta bancaria en la que se depositará la subvención si su solicitud de STSM es aprobada y la STSM completada.</w:t>
      </w:r>
    </w:p>
    <w:p w14:paraId="65EB1275" w14:textId="77777777" w:rsidR="003C3957" w:rsidRPr="00D7560E" w:rsidRDefault="003C3957">
      <w:pPr>
        <w:numPr>
          <w:ilvl w:val="0"/>
          <w:numId w:val="21"/>
        </w:numPr>
        <w:shd w:val="clear" w:color="auto" w:fill="FFFFFF"/>
        <w:spacing w:before="120" w:after="120" w:line="240" w:lineRule="auto"/>
        <w:ind w:left="1395"/>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Las solicitudes y todos los documentos relacionados con ellas deben estar en inglés.</w:t>
      </w:r>
    </w:p>
    <w:p w14:paraId="06301183" w14:textId="7FD81BE8" w:rsidR="003C3957" w:rsidRPr="00D7560E" w:rsidRDefault="003C3957">
      <w:pPr>
        <w:numPr>
          <w:ilvl w:val="0"/>
          <w:numId w:val="22"/>
        </w:numPr>
        <w:shd w:val="clear" w:color="auto" w:fill="FFFFFF"/>
        <w:spacing w:before="120" w:after="120" w:line="240" w:lineRule="auto"/>
        <w:ind w:left="1395"/>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La duración mínima de una STSM es de cinco días. Una STSM también tiene que llevarse a cabo en su totalidad dentro de un período de subvención.</w:t>
      </w:r>
    </w:p>
    <w:p w14:paraId="13E5D65F" w14:textId="77777777" w:rsidR="00BA272A" w:rsidRPr="00D7560E" w:rsidRDefault="003C3957">
      <w:pPr>
        <w:numPr>
          <w:ilvl w:val="0"/>
          <w:numId w:val="23"/>
        </w:numPr>
        <w:shd w:val="clear" w:color="auto" w:fill="FFFFFF"/>
        <w:spacing w:before="120" w:after="120" w:line="240" w:lineRule="auto"/>
        <w:ind w:left="1395"/>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La fecha de inicio más temprana es de dos meses a partir de la solicitud, aunque es posible empezar antes en circunstancias excepcionales si lo aprueba el coordinador de STSMs.</w:t>
      </w:r>
    </w:p>
    <w:p w14:paraId="7D1C7D7E" w14:textId="28BA734B" w:rsidR="003C3957" w:rsidRPr="00D7560E" w:rsidRDefault="003C3957">
      <w:pPr>
        <w:numPr>
          <w:ilvl w:val="0"/>
          <w:numId w:val="23"/>
        </w:numPr>
        <w:shd w:val="clear" w:color="auto" w:fill="FFFFFF"/>
        <w:spacing w:before="120" w:after="120" w:line="240" w:lineRule="auto"/>
        <w:ind w:left="1395"/>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El tema de la STSM es una elección del candidato, pero lo ideal es que esté relacionado con una de las actividades de los grupos de trabajo de iCOn-MICS.</w:t>
      </w:r>
    </w:p>
    <w:p w14:paraId="49073FBC" w14:textId="1A558E3B" w:rsidR="003C3957" w:rsidRPr="00D7560E" w:rsidRDefault="003C3957">
      <w:pPr>
        <w:numPr>
          <w:ilvl w:val="0"/>
          <w:numId w:val="24"/>
        </w:numPr>
        <w:shd w:val="clear" w:color="auto" w:fill="FFFFFF"/>
        <w:spacing w:before="120" w:after="120" w:line="240" w:lineRule="auto"/>
        <w:ind w:left="1395"/>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La subvención se reembolsará </w:t>
      </w:r>
      <w:r w:rsidRPr="00D7560E">
        <w:rPr>
          <w:rFonts w:ascii="Garamond" w:eastAsia="Times New Roman" w:hAnsi="Garamond" w:cs="Arial"/>
          <w:b/>
          <w:bCs/>
          <w:color w:val="111111"/>
          <w:sz w:val="27"/>
          <w:szCs w:val="27"/>
          <w:bdr w:val="none" w:sz="0" w:space="0" w:color="auto" w:frame="1"/>
          <w:lang w:val="es-ES" w:eastAsia="en-GB"/>
        </w:rPr>
        <w:t>DESPUÉS</w:t>
      </w:r>
      <w:r w:rsidRPr="00D7560E">
        <w:rPr>
          <w:rFonts w:ascii="Garamond" w:eastAsia="Times New Roman" w:hAnsi="Garamond" w:cs="Arial"/>
          <w:color w:val="111111"/>
          <w:sz w:val="27"/>
          <w:szCs w:val="27"/>
          <w:lang w:val="es-ES" w:eastAsia="en-GB"/>
        </w:rPr>
        <w:t xml:space="preserve"> de que el becario haya completado su visita y haya presentado </w:t>
      </w:r>
      <w:r w:rsidR="00BA272A" w:rsidRPr="00D7560E">
        <w:rPr>
          <w:rFonts w:ascii="Garamond" w:eastAsia="Times New Roman" w:hAnsi="Garamond" w:cs="Arial"/>
          <w:color w:val="111111"/>
          <w:sz w:val="27"/>
          <w:szCs w:val="27"/>
          <w:lang w:val="es-ES" w:eastAsia="en-GB"/>
        </w:rPr>
        <w:t xml:space="preserve">informe científico en el que se detallen las actividades realizadas durante el STSM, </w:t>
      </w:r>
      <w:r w:rsidRPr="00D7560E">
        <w:rPr>
          <w:rFonts w:ascii="Garamond" w:eastAsia="Times New Roman" w:hAnsi="Garamond" w:cs="Arial"/>
          <w:color w:val="111111"/>
          <w:sz w:val="27"/>
          <w:szCs w:val="27"/>
          <w:lang w:val="es-ES" w:eastAsia="en-GB"/>
        </w:rPr>
        <w:t>en un plazo de 30 días naturales desde la finalización de la visita de investigación. Los solicitantes </w:t>
      </w:r>
      <w:r w:rsidRPr="00D7560E">
        <w:rPr>
          <w:rFonts w:ascii="Garamond" w:eastAsia="Times New Roman" w:hAnsi="Garamond" w:cs="Arial"/>
          <w:b/>
          <w:bCs/>
          <w:color w:val="111111"/>
          <w:sz w:val="27"/>
          <w:szCs w:val="27"/>
          <w:bdr w:val="none" w:sz="0" w:space="0" w:color="auto" w:frame="1"/>
          <w:lang w:val="es-ES" w:eastAsia="en-GB"/>
        </w:rPr>
        <w:t>deben respetar los plazos</w:t>
      </w:r>
      <w:r w:rsidRPr="00D7560E">
        <w:rPr>
          <w:rFonts w:ascii="Garamond" w:eastAsia="Times New Roman" w:hAnsi="Garamond" w:cs="Arial"/>
          <w:color w:val="111111"/>
          <w:sz w:val="27"/>
          <w:szCs w:val="27"/>
          <w:lang w:val="es-ES" w:eastAsia="en-GB"/>
        </w:rPr>
        <w:t>, o no serán reembolsados.</w:t>
      </w:r>
    </w:p>
    <w:p w14:paraId="3624FDF8" w14:textId="77777777" w:rsidR="003C3957" w:rsidRPr="00D7560E" w:rsidRDefault="003C3957">
      <w:pPr>
        <w:numPr>
          <w:ilvl w:val="0"/>
          <w:numId w:val="25"/>
        </w:numPr>
        <w:shd w:val="clear" w:color="auto" w:fill="FFFFFF"/>
        <w:spacing w:before="120" w:after="120" w:line="240" w:lineRule="auto"/>
        <w:ind w:left="1395"/>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Los investigadores de países objetivo de inclusión (ITC) pueden recibir el 50% de la subvención al finalizar el primer día de la STSM. El 50% restante se pagará después de que el becario haya completado su visita y presentado un informe.</w:t>
      </w:r>
    </w:p>
    <w:p w14:paraId="442FD16F" w14:textId="63228A6E" w:rsidR="003C3957" w:rsidRPr="00D7560E" w:rsidRDefault="003C3957">
      <w:pPr>
        <w:numPr>
          <w:ilvl w:val="0"/>
          <w:numId w:val="26"/>
        </w:numPr>
        <w:shd w:val="clear" w:color="auto" w:fill="FFFFFF"/>
        <w:spacing w:before="120" w:after="120" w:line="240" w:lineRule="auto"/>
        <w:ind w:left="1395"/>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Los becarios de STSMs deben tomar sus propias medidas para cumplir todas las disposiciones relacionadas con la seguridad personal, la salud, la seguridad social y las pensiones.</w:t>
      </w:r>
    </w:p>
    <w:p w14:paraId="3F258763" w14:textId="77777777" w:rsidR="0084395B" w:rsidRPr="00D7560E" w:rsidRDefault="0084395B" w:rsidP="00DE0515">
      <w:pPr>
        <w:shd w:val="clear" w:color="auto" w:fill="FFFFFF"/>
        <w:spacing w:before="120" w:after="120" w:line="240" w:lineRule="auto"/>
        <w:ind w:left="1395"/>
        <w:textAlignment w:val="baseline"/>
        <w:rPr>
          <w:rFonts w:ascii="Garamond" w:eastAsia="Times New Roman" w:hAnsi="Garamond" w:cs="Arial"/>
          <w:color w:val="111111"/>
          <w:sz w:val="27"/>
          <w:szCs w:val="27"/>
          <w:lang w:val="es-ES" w:eastAsia="en-GB"/>
        </w:rPr>
      </w:pPr>
    </w:p>
    <w:p w14:paraId="6ADAB36F" w14:textId="5771EE49" w:rsidR="0084395B" w:rsidRPr="00D7560E" w:rsidRDefault="003C3957" w:rsidP="00AE36DA">
      <w:pPr>
        <w:shd w:val="clear" w:color="auto" w:fill="FFFFFF"/>
        <w:spacing w:before="120" w:after="120" w:line="240" w:lineRule="auto"/>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b/>
          <w:bCs/>
          <w:color w:val="111111"/>
          <w:sz w:val="27"/>
          <w:szCs w:val="27"/>
          <w:bdr w:val="none" w:sz="0" w:space="0" w:color="auto" w:frame="1"/>
          <w:lang w:val="es-ES" w:eastAsia="en-GB"/>
        </w:rPr>
        <w:t>Criterios de evaluación</w:t>
      </w:r>
      <w:r w:rsidRPr="00D7560E">
        <w:rPr>
          <w:rFonts w:ascii="Garamond" w:eastAsia="Times New Roman" w:hAnsi="Garamond" w:cs="Arial"/>
          <w:color w:val="111111"/>
          <w:sz w:val="27"/>
          <w:szCs w:val="27"/>
          <w:lang w:val="es-ES" w:eastAsia="en-GB"/>
        </w:rPr>
        <w:br/>
        <w:t>Las becas STSM se conceden de acuerdo con los principios clave del COST sobre excelencia, inclusión y equilibrio:</w:t>
      </w:r>
    </w:p>
    <w:p w14:paraId="1BC139A8" w14:textId="77777777" w:rsidR="003C3957" w:rsidRPr="00D7560E" w:rsidRDefault="003C3957">
      <w:pPr>
        <w:numPr>
          <w:ilvl w:val="0"/>
          <w:numId w:val="27"/>
        </w:numPr>
        <w:shd w:val="clear" w:color="auto" w:fill="FFFFFF"/>
        <w:spacing w:before="120" w:after="120" w:line="240" w:lineRule="auto"/>
        <w:ind w:left="1395"/>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lastRenderedPageBreak/>
        <w:t>La calidad del solicitante se basa en la solicitud escrita.</w:t>
      </w:r>
    </w:p>
    <w:p w14:paraId="5ECD9A00" w14:textId="77777777" w:rsidR="003C3957" w:rsidRPr="00D7560E" w:rsidRDefault="003C3957">
      <w:pPr>
        <w:numPr>
          <w:ilvl w:val="0"/>
          <w:numId w:val="28"/>
        </w:numPr>
        <w:shd w:val="clear" w:color="auto" w:fill="FFFFFF"/>
        <w:spacing w:before="120" w:after="120" w:line="240" w:lineRule="auto"/>
        <w:ind w:left="1395"/>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Se tendrá en cuenta el equilibrio de género, institucional y geográfico, así como el equilibrio global de las STSMs atribuidas a cada grupo de trabajo.</w:t>
      </w:r>
    </w:p>
    <w:p w14:paraId="30F94DFB" w14:textId="3A1B13C8" w:rsidR="0084395B" w:rsidRPr="00D7560E" w:rsidRDefault="003C3957">
      <w:pPr>
        <w:numPr>
          <w:ilvl w:val="0"/>
          <w:numId w:val="29"/>
        </w:numPr>
        <w:shd w:val="clear" w:color="auto" w:fill="FFFFFF"/>
        <w:spacing w:before="120" w:after="120" w:line="240" w:lineRule="auto"/>
        <w:ind w:left="1395"/>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También tienen prioridad los solicitantes procedentes de países objetivo de inclusión (ITCs). Se trata de Bosnia-Herzegovina, Bulgaria, Estonia, Croacia, Grecia, Letonia, Montenegro, Polonia, Portugal, Eslovenia, Eslovaquia, la Antigua República Yugoslava de Macedonia, la República de Serbia y Turquía.</w:t>
      </w:r>
    </w:p>
    <w:p w14:paraId="7B1EBB61" w14:textId="77777777" w:rsidR="003C3957" w:rsidRPr="00D7560E" w:rsidRDefault="003C3957" w:rsidP="00DE0515">
      <w:pPr>
        <w:shd w:val="clear" w:color="auto" w:fill="FFFFFF"/>
        <w:spacing w:before="120" w:after="120" w:line="240" w:lineRule="auto"/>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color w:val="111111"/>
          <w:sz w:val="27"/>
          <w:szCs w:val="27"/>
          <w:lang w:val="es-ES" w:eastAsia="en-GB"/>
        </w:rPr>
        <w:t>El Comité STSM puntúa a los solicitantes con A (90% o más), B (89-80%), C (70-79%), D (65-69%) o E (65% o menos) sumando las puntuaciones de la propuesta de investigación completa y sus partes. Los criterios de evaluación son los siguientes:</w:t>
      </w:r>
    </w:p>
    <w:p w14:paraId="6507834E" w14:textId="77777777" w:rsidR="003C3957" w:rsidRPr="00D7560E" w:rsidRDefault="003C3957">
      <w:pPr>
        <w:numPr>
          <w:ilvl w:val="0"/>
          <w:numId w:val="30"/>
        </w:numPr>
        <w:shd w:val="clear" w:color="auto" w:fill="FFFFFF"/>
        <w:spacing w:before="120" w:after="120" w:line="240" w:lineRule="auto"/>
        <w:ind w:left="1395"/>
        <w:textAlignment w:val="baseline"/>
        <w:rPr>
          <w:rFonts w:ascii="Garamond" w:eastAsia="Times New Roman" w:hAnsi="Garamond" w:cs="Arial"/>
          <w:color w:val="111111"/>
          <w:sz w:val="27"/>
          <w:szCs w:val="27"/>
          <w:lang w:eastAsia="en-GB"/>
        </w:rPr>
      </w:pPr>
      <w:r w:rsidRPr="00D7560E">
        <w:rPr>
          <w:rFonts w:ascii="Garamond" w:eastAsia="Times New Roman" w:hAnsi="Garamond" w:cs="Arial"/>
          <w:i/>
          <w:iCs/>
          <w:color w:val="111111"/>
          <w:sz w:val="27"/>
          <w:szCs w:val="27"/>
          <w:bdr w:val="none" w:sz="0" w:space="0" w:color="auto" w:frame="1"/>
          <w:lang w:val="es-ES" w:eastAsia="en-GB"/>
        </w:rPr>
        <w:t>La relevancia y la aplicación de la investigación a los objetivos científicos y al ámbito de la Acción</w:t>
      </w:r>
      <w:r w:rsidRPr="00D7560E">
        <w:rPr>
          <w:rFonts w:ascii="Garamond" w:eastAsia="Times New Roman" w:hAnsi="Garamond" w:cs="Arial"/>
          <w:color w:val="111111"/>
          <w:sz w:val="27"/>
          <w:szCs w:val="27"/>
          <w:lang w:val="es-ES" w:eastAsia="en-GB"/>
        </w:rPr>
        <w:t xml:space="preserve">. Un plan de trabajo detallado con plazos ayuda a determinar si la solicitud se ajusta a los objetivos generales de la Acción. </w:t>
      </w:r>
      <w:r w:rsidRPr="00D7560E">
        <w:rPr>
          <w:rFonts w:ascii="Garamond" w:eastAsia="Times New Roman" w:hAnsi="Garamond" w:cs="Arial"/>
          <w:color w:val="111111"/>
          <w:sz w:val="27"/>
          <w:szCs w:val="27"/>
          <w:lang w:eastAsia="en-GB"/>
        </w:rPr>
        <w:t>(1-5 puntos).</w:t>
      </w:r>
    </w:p>
    <w:p w14:paraId="6C4525F8" w14:textId="77777777" w:rsidR="003C3957" w:rsidRPr="00D7560E" w:rsidRDefault="003C3957">
      <w:pPr>
        <w:numPr>
          <w:ilvl w:val="0"/>
          <w:numId w:val="31"/>
        </w:numPr>
        <w:shd w:val="clear" w:color="auto" w:fill="FFFFFF"/>
        <w:spacing w:before="120" w:after="120" w:line="240" w:lineRule="auto"/>
        <w:ind w:left="1395"/>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i/>
          <w:iCs/>
          <w:color w:val="111111"/>
          <w:sz w:val="27"/>
          <w:szCs w:val="27"/>
          <w:bdr w:val="none" w:sz="0" w:space="0" w:color="auto" w:frame="1"/>
          <w:lang w:val="es-ES" w:eastAsia="en-GB"/>
        </w:rPr>
        <w:t>La calidad y claridad de la investigación propuesta</w:t>
      </w:r>
      <w:r w:rsidRPr="00D7560E">
        <w:rPr>
          <w:rFonts w:ascii="Garamond" w:eastAsia="Times New Roman" w:hAnsi="Garamond" w:cs="Arial"/>
          <w:color w:val="111111"/>
          <w:sz w:val="27"/>
          <w:szCs w:val="27"/>
          <w:lang w:val="es-ES" w:eastAsia="en-GB"/>
        </w:rPr>
        <w:t>. La solicitud debe argumentar la importancia y la oportunidad de la investigación (1-5 puntos).</w:t>
      </w:r>
    </w:p>
    <w:p w14:paraId="33CE84BE" w14:textId="77777777" w:rsidR="003C3957" w:rsidRPr="00D7560E" w:rsidRDefault="003C3957">
      <w:pPr>
        <w:numPr>
          <w:ilvl w:val="0"/>
          <w:numId w:val="32"/>
        </w:numPr>
        <w:shd w:val="clear" w:color="auto" w:fill="FFFFFF"/>
        <w:spacing w:before="120" w:after="120" w:line="240" w:lineRule="auto"/>
        <w:ind w:left="1395"/>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i/>
          <w:iCs/>
          <w:color w:val="111111"/>
          <w:sz w:val="27"/>
          <w:szCs w:val="27"/>
          <w:bdr w:val="none" w:sz="0" w:space="0" w:color="auto" w:frame="1"/>
          <w:lang w:val="es-ES" w:eastAsia="en-GB"/>
        </w:rPr>
        <w:t>La elección de la institución de acogida</w:t>
      </w:r>
      <w:r w:rsidRPr="00D7560E">
        <w:rPr>
          <w:rFonts w:ascii="Garamond" w:eastAsia="Times New Roman" w:hAnsi="Garamond" w:cs="Arial"/>
          <w:color w:val="111111"/>
          <w:sz w:val="27"/>
          <w:szCs w:val="27"/>
          <w:lang w:val="es-ES" w:eastAsia="en-GB"/>
        </w:rPr>
        <w:t>. El solicitante debe dar razones científicas específicas para visitar la institución anfitriona elegida. La implicación de países ITC es un valor añadido (1-5 puntos).</w:t>
      </w:r>
    </w:p>
    <w:p w14:paraId="14C74B5C" w14:textId="77777777" w:rsidR="003C3957" w:rsidRPr="00D7560E" w:rsidRDefault="003C3957">
      <w:pPr>
        <w:numPr>
          <w:ilvl w:val="0"/>
          <w:numId w:val="33"/>
        </w:numPr>
        <w:shd w:val="clear" w:color="auto" w:fill="FFFFFF"/>
        <w:spacing w:before="120" w:after="120" w:line="240" w:lineRule="auto"/>
        <w:ind w:left="1395"/>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i/>
          <w:iCs/>
          <w:color w:val="111111"/>
          <w:sz w:val="27"/>
          <w:szCs w:val="27"/>
          <w:bdr w:val="none" w:sz="0" w:space="0" w:color="auto" w:frame="1"/>
          <w:lang w:val="es-ES" w:eastAsia="en-GB"/>
        </w:rPr>
        <w:t>La institución de origen del investigador. </w:t>
      </w:r>
      <w:r w:rsidRPr="00D7560E">
        <w:rPr>
          <w:rFonts w:ascii="Garamond" w:eastAsia="Times New Roman" w:hAnsi="Garamond" w:cs="Arial"/>
          <w:color w:val="111111"/>
          <w:sz w:val="27"/>
          <w:szCs w:val="27"/>
          <w:lang w:val="es-ES" w:eastAsia="en-GB"/>
        </w:rPr>
        <w:t>Tenemos en cuenta el número de solicitudes de cada institución para garantizar una distribución justa de la investigación en la red. La implicación de países ITC es un valor añadido (1-5 puntos).</w:t>
      </w:r>
    </w:p>
    <w:p w14:paraId="3CA2D633" w14:textId="77777777" w:rsidR="003C3957" w:rsidRPr="00D7560E" w:rsidRDefault="003C3957">
      <w:pPr>
        <w:numPr>
          <w:ilvl w:val="0"/>
          <w:numId w:val="34"/>
        </w:numPr>
        <w:shd w:val="clear" w:color="auto" w:fill="FFFFFF"/>
        <w:spacing w:before="120" w:after="120" w:line="240" w:lineRule="auto"/>
        <w:ind w:left="1395"/>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i/>
          <w:iCs/>
          <w:color w:val="111111"/>
          <w:sz w:val="27"/>
          <w:szCs w:val="27"/>
          <w:bdr w:val="none" w:sz="0" w:space="0" w:color="auto" w:frame="1"/>
          <w:lang w:val="es-ES" w:eastAsia="en-GB"/>
        </w:rPr>
        <w:t>El perfil del investigador. </w:t>
      </w:r>
      <w:r w:rsidRPr="00D7560E">
        <w:rPr>
          <w:rFonts w:ascii="Garamond" w:eastAsia="Times New Roman" w:hAnsi="Garamond" w:cs="Arial"/>
          <w:color w:val="111111"/>
          <w:sz w:val="27"/>
          <w:szCs w:val="27"/>
          <w:lang w:val="es-ES" w:eastAsia="en-GB"/>
        </w:rPr>
        <w:t>Consideramos el potencial del investigador para completar la STSM en base a su trabajo previo y a sus logros proporcionales a la etapa de su carrera (1-5 puntos).</w:t>
      </w:r>
    </w:p>
    <w:p w14:paraId="4E002AD5" w14:textId="484D5268" w:rsidR="003C3957" w:rsidRPr="00D7560E" w:rsidRDefault="003C3957">
      <w:pPr>
        <w:numPr>
          <w:ilvl w:val="0"/>
          <w:numId w:val="35"/>
        </w:numPr>
        <w:shd w:val="clear" w:color="auto" w:fill="FFFFFF"/>
        <w:spacing w:before="120" w:after="120" w:line="240" w:lineRule="auto"/>
        <w:ind w:left="1395"/>
        <w:textAlignment w:val="baseline"/>
        <w:rPr>
          <w:rFonts w:ascii="Garamond" w:eastAsia="Times New Roman" w:hAnsi="Garamond" w:cs="Arial"/>
          <w:color w:val="111111"/>
          <w:sz w:val="27"/>
          <w:szCs w:val="27"/>
          <w:lang w:val="es-ES" w:eastAsia="en-GB"/>
        </w:rPr>
      </w:pPr>
      <w:r w:rsidRPr="00D7560E">
        <w:rPr>
          <w:rFonts w:ascii="Garamond" w:eastAsia="Times New Roman" w:hAnsi="Garamond" w:cs="Arial"/>
          <w:i/>
          <w:iCs/>
          <w:color w:val="111111"/>
          <w:sz w:val="27"/>
          <w:szCs w:val="27"/>
          <w:bdr w:val="none" w:sz="0" w:space="0" w:color="auto" w:frame="1"/>
          <w:lang w:val="es-ES" w:eastAsia="en-GB"/>
        </w:rPr>
        <w:t>El potencial de publicación/producción de la investigación realizada. </w:t>
      </w:r>
      <w:r w:rsidRPr="00D7560E">
        <w:rPr>
          <w:rFonts w:ascii="Garamond" w:eastAsia="Times New Roman" w:hAnsi="Garamond" w:cs="Arial"/>
          <w:color w:val="111111"/>
          <w:sz w:val="27"/>
          <w:szCs w:val="27"/>
          <w:lang w:val="es-ES" w:eastAsia="en-GB"/>
        </w:rPr>
        <w:t>Basado en el plan de trabajo de la STSM y el plan detallado de publicación/producción (1-5 puntos).</w:t>
      </w:r>
    </w:p>
    <w:p w14:paraId="595F2D7B" w14:textId="77777777" w:rsidR="000D14C2" w:rsidRPr="00D7560E" w:rsidRDefault="000D14C2" w:rsidP="00DE0515">
      <w:pPr>
        <w:shd w:val="clear" w:color="auto" w:fill="FFFFFF"/>
        <w:spacing w:before="120" w:after="120" w:line="240" w:lineRule="auto"/>
        <w:ind w:left="1395"/>
        <w:textAlignment w:val="baseline"/>
        <w:rPr>
          <w:rFonts w:ascii="Garamond" w:eastAsia="Times New Roman" w:hAnsi="Garamond" w:cs="Arial"/>
          <w:color w:val="111111"/>
          <w:sz w:val="27"/>
          <w:szCs w:val="27"/>
          <w:lang w:val="es-ES" w:eastAsia="en-GB"/>
        </w:rPr>
      </w:pPr>
    </w:p>
    <w:p w14:paraId="679BF9F0" w14:textId="4EFEAAFD" w:rsidR="000266C8" w:rsidRDefault="003C3957" w:rsidP="006C6E6E">
      <w:pPr>
        <w:shd w:val="clear" w:color="auto" w:fill="FFFFFF"/>
        <w:spacing w:before="120" w:after="120" w:line="240" w:lineRule="auto"/>
        <w:textAlignment w:val="baseline"/>
        <w:rPr>
          <w:rFonts w:ascii="Garamond" w:eastAsia="Times New Roman" w:hAnsi="Garamond" w:cs="Times New Roman"/>
          <w:sz w:val="24"/>
          <w:szCs w:val="24"/>
          <w:lang w:eastAsia="en-GB"/>
        </w:rPr>
      </w:pPr>
      <w:r w:rsidRPr="00D7560E">
        <w:rPr>
          <w:rFonts w:ascii="Garamond" w:eastAsia="Times New Roman" w:hAnsi="Garamond" w:cs="Arial"/>
          <w:b/>
          <w:bCs/>
          <w:color w:val="111111"/>
          <w:sz w:val="27"/>
          <w:szCs w:val="27"/>
          <w:bdr w:val="none" w:sz="0" w:space="0" w:color="auto" w:frame="1"/>
          <w:lang w:val="es-ES" w:eastAsia="en-GB"/>
        </w:rPr>
        <w:t>Nota: </w:t>
      </w:r>
      <w:r w:rsidRPr="00D7560E">
        <w:rPr>
          <w:rFonts w:ascii="Garamond" w:eastAsia="Times New Roman" w:hAnsi="Garamond" w:cs="Arial"/>
          <w:color w:val="111111"/>
          <w:sz w:val="27"/>
          <w:szCs w:val="27"/>
          <w:lang w:val="es-ES" w:eastAsia="en-GB"/>
        </w:rPr>
        <w:t>Por favor, para cualquier consulta póngase en contacto con la Coordinadora de Becas, Ana Matilde Sousa (</w:t>
      </w:r>
      <w:hyperlink r:id="rId8" w:tgtFrame="_blank" w:history="1">
        <w:r w:rsidRPr="00D7560E">
          <w:rPr>
            <w:rFonts w:ascii="Garamond" w:eastAsia="Times New Roman" w:hAnsi="Garamond" w:cs="Arial"/>
            <w:color w:val="0A4E8F"/>
            <w:sz w:val="27"/>
            <w:szCs w:val="27"/>
            <w:u w:val="single"/>
            <w:bdr w:val="none" w:sz="0" w:space="0" w:color="auto" w:frame="1"/>
            <w:lang w:val="es-ES" w:eastAsia="en-GB"/>
          </w:rPr>
          <w:t>asousa@campus.ul.pt</w:t>
        </w:r>
      </w:hyperlink>
      <w:r w:rsidRPr="00D7560E">
        <w:rPr>
          <w:rFonts w:ascii="Garamond" w:eastAsia="Times New Roman" w:hAnsi="Garamond" w:cs="Arial"/>
          <w:color w:val="111111"/>
          <w:sz w:val="27"/>
          <w:szCs w:val="27"/>
          <w:lang w:val="es-ES" w:eastAsia="en-GB"/>
        </w:rPr>
        <w:t>).</w:t>
      </w:r>
    </w:p>
    <w:sectPr w:rsidR="000266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338FE"/>
    <w:multiLevelType w:val="multilevel"/>
    <w:tmpl w:val="690A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F1113"/>
    <w:multiLevelType w:val="multilevel"/>
    <w:tmpl w:val="966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54165"/>
    <w:multiLevelType w:val="multilevel"/>
    <w:tmpl w:val="040C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908ED"/>
    <w:multiLevelType w:val="multilevel"/>
    <w:tmpl w:val="5B84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41FBF"/>
    <w:multiLevelType w:val="multilevel"/>
    <w:tmpl w:val="1A94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94F98"/>
    <w:multiLevelType w:val="multilevel"/>
    <w:tmpl w:val="77F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A4770"/>
    <w:multiLevelType w:val="multilevel"/>
    <w:tmpl w:val="8AB4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9724B"/>
    <w:multiLevelType w:val="multilevel"/>
    <w:tmpl w:val="E21C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7449BB"/>
    <w:multiLevelType w:val="multilevel"/>
    <w:tmpl w:val="BD0E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0F6693"/>
    <w:multiLevelType w:val="hybridMultilevel"/>
    <w:tmpl w:val="B602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551D8"/>
    <w:multiLevelType w:val="hybridMultilevel"/>
    <w:tmpl w:val="014C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476716"/>
    <w:multiLevelType w:val="hybridMultilevel"/>
    <w:tmpl w:val="8C5C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602311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16cid:durableId="51415467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16cid:durableId="103350366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16cid:durableId="47830402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16cid:durableId="73085790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16cid:durableId="114146204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16cid:durableId="100501278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16cid:durableId="58164632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16cid:durableId="145590742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16cid:durableId="174772285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16cid:durableId="14470743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16cid:durableId="33974174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16cid:durableId="123824992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16cid:durableId="106699989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5" w16cid:durableId="71226727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16cid:durableId="186713490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7" w16cid:durableId="151422612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8" w16cid:durableId="18802362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9" w16cid:durableId="199127828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0" w16cid:durableId="119912304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1" w16cid:durableId="155635004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16cid:durableId="160105950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3" w16cid:durableId="185029130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4" w16cid:durableId="70734166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5" w16cid:durableId="174752892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6" w16cid:durableId="4996774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7" w16cid:durableId="7125355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8" w16cid:durableId="88749934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9" w16cid:durableId="20874848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0" w16cid:durableId="44816568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1" w16cid:durableId="152987732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2" w16cid:durableId="115579969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3" w16cid:durableId="133071879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4" w16cid:durableId="167880045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5" w16cid:durableId="111825898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6" w16cid:durableId="196021161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7" w16cid:durableId="191473060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8" w16cid:durableId="160611416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9" w16cid:durableId="174490652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0" w16cid:durableId="100447660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1" w16cid:durableId="14636587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2" w16cid:durableId="40973779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3" w16cid:durableId="161201367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4" w16cid:durableId="70263598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5" w16cid:durableId="49953898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6" w16cid:durableId="123974797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7" w16cid:durableId="20999484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8" w16cid:durableId="203615535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9" w16cid:durableId="166593171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0" w16cid:durableId="72896314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1" w16cid:durableId="153800210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2" w16cid:durableId="179243874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3" w16cid:durableId="205654422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4" w16cid:durableId="1964531451">
    <w:abstractNumId w:val="10"/>
  </w:num>
  <w:num w:numId="55" w16cid:durableId="601762441">
    <w:abstractNumId w:val="9"/>
  </w:num>
  <w:num w:numId="56" w16cid:durableId="2086875878">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yNDWzMLG0NDG0tDBU0lEKTi0uzszPAykwqgUAWyBQXSwAAAA="/>
  </w:docVars>
  <w:rsids>
    <w:rsidRoot w:val="003C3957"/>
    <w:rsid w:val="000266C8"/>
    <w:rsid w:val="000A67A2"/>
    <w:rsid w:val="000B1D8B"/>
    <w:rsid w:val="000B6EB9"/>
    <w:rsid w:val="000D14C2"/>
    <w:rsid w:val="00212FA1"/>
    <w:rsid w:val="00217036"/>
    <w:rsid w:val="002256BC"/>
    <w:rsid w:val="0023053D"/>
    <w:rsid w:val="002626A8"/>
    <w:rsid w:val="00276281"/>
    <w:rsid w:val="00291A68"/>
    <w:rsid w:val="00293B56"/>
    <w:rsid w:val="002B58A3"/>
    <w:rsid w:val="002C3C17"/>
    <w:rsid w:val="002E2792"/>
    <w:rsid w:val="003C3957"/>
    <w:rsid w:val="0046482F"/>
    <w:rsid w:val="00483015"/>
    <w:rsid w:val="00485398"/>
    <w:rsid w:val="004F289A"/>
    <w:rsid w:val="00584D77"/>
    <w:rsid w:val="006022DB"/>
    <w:rsid w:val="00646980"/>
    <w:rsid w:val="006C6E6E"/>
    <w:rsid w:val="00721859"/>
    <w:rsid w:val="00745391"/>
    <w:rsid w:val="007608EF"/>
    <w:rsid w:val="007622F4"/>
    <w:rsid w:val="0084395B"/>
    <w:rsid w:val="008518E1"/>
    <w:rsid w:val="0093243E"/>
    <w:rsid w:val="0094141F"/>
    <w:rsid w:val="009B4C24"/>
    <w:rsid w:val="00A640AD"/>
    <w:rsid w:val="00AE36DA"/>
    <w:rsid w:val="00AE7236"/>
    <w:rsid w:val="00B16E49"/>
    <w:rsid w:val="00B73B96"/>
    <w:rsid w:val="00BA272A"/>
    <w:rsid w:val="00C0028C"/>
    <w:rsid w:val="00C47582"/>
    <w:rsid w:val="00C50BAE"/>
    <w:rsid w:val="00C66F54"/>
    <w:rsid w:val="00CA4699"/>
    <w:rsid w:val="00CC5B42"/>
    <w:rsid w:val="00D23897"/>
    <w:rsid w:val="00D7560E"/>
    <w:rsid w:val="00DD4B0F"/>
    <w:rsid w:val="00DE0515"/>
    <w:rsid w:val="00E10C8C"/>
    <w:rsid w:val="00E644CA"/>
    <w:rsid w:val="00F433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32E8A6"/>
  <w15:chartTrackingRefBased/>
  <w15:docId w15:val="{526F9960-697B-457E-9824-5DE3EC87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395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95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C3957"/>
    <w:rPr>
      <w:b/>
      <w:bCs/>
    </w:rPr>
  </w:style>
  <w:style w:type="paragraph" w:styleId="NormalWeb">
    <w:name w:val="Normal (Web)"/>
    <w:basedOn w:val="Normal"/>
    <w:uiPriority w:val="99"/>
    <w:semiHidden/>
    <w:unhideWhenUsed/>
    <w:rsid w:val="003C39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3957"/>
    <w:rPr>
      <w:color w:val="0000FF"/>
      <w:u w:val="single"/>
    </w:rPr>
  </w:style>
  <w:style w:type="character" w:styleId="Emphasis">
    <w:name w:val="Emphasis"/>
    <w:basedOn w:val="DefaultParagraphFont"/>
    <w:uiPriority w:val="20"/>
    <w:qFormat/>
    <w:rsid w:val="003C3957"/>
    <w:rPr>
      <w:i/>
      <w:iCs/>
    </w:rPr>
  </w:style>
  <w:style w:type="character" w:styleId="UnresolvedMention">
    <w:name w:val="Unresolved Mention"/>
    <w:basedOn w:val="DefaultParagraphFont"/>
    <w:uiPriority w:val="99"/>
    <w:semiHidden/>
    <w:unhideWhenUsed/>
    <w:rsid w:val="00DD4B0F"/>
    <w:rPr>
      <w:color w:val="605E5C"/>
      <w:shd w:val="clear" w:color="auto" w:fill="E1DFDD"/>
    </w:rPr>
  </w:style>
  <w:style w:type="paragraph" w:styleId="ListParagraph">
    <w:name w:val="List Paragraph"/>
    <w:basedOn w:val="Normal"/>
    <w:uiPriority w:val="34"/>
    <w:qFormat/>
    <w:rsid w:val="009B4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6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usa@campus.ul.pt" TargetMode="External"/><Relationship Id="rId3" Type="http://schemas.openxmlformats.org/officeDocument/2006/relationships/settings" Target="settings.xml"/><Relationship Id="rId7" Type="http://schemas.openxmlformats.org/officeDocument/2006/relationships/hyperlink" Target="https://e-services.cost.eu/activity/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st.eu/wp-content/uploads/2020/06/Vademecum-V8-1-May-20202.pdf" TargetMode="External"/><Relationship Id="rId5" Type="http://schemas.openxmlformats.org/officeDocument/2006/relationships/hyperlink" Target="https://iconmics.hypothes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Matilde Sousa</dc:creator>
  <cp:keywords/>
  <dc:description/>
  <cp:lastModifiedBy>Antonio Lazaro-Reboll</cp:lastModifiedBy>
  <cp:revision>3</cp:revision>
  <dcterms:created xsi:type="dcterms:W3CDTF">2023-01-15T16:38:00Z</dcterms:created>
  <dcterms:modified xsi:type="dcterms:W3CDTF">2023-01-15T16:38:00Z</dcterms:modified>
</cp:coreProperties>
</file>