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6F88" w14:textId="77777777" w:rsidR="00974634" w:rsidRPr="00D7560E" w:rsidRDefault="00974634" w:rsidP="00974634">
      <w:pPr>
        <w:spacing w:before="120" w:after="12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sz w:val="24"/>
          <w:szCs w:val="24"/>
          <w:lang w:eastAsia="en-GB"/>
        </w:rPr>
        <w:pict w14:anchorId="460AE2D9">
          <v:rect id="_x0000_i1025" style="width:0;height:.75pt" o:hralign="center" o:hrstd="t" o:hrnoshade="t" o:hr="t" fillcolor="#111" stroked="f"/>
        </w:pict>
      </w:r>
    </w:p>
    <w:p w14:paraId="40E4D143" w14:textId="29D4AA18" w:rsidR="00974634" w:rsidRPr="00974634" w:rsidRDefault="00974634" w:rsidP="00974634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</w:pPr>
      <w:r w:rsidRPr="00D7560E"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  <w:t>iCOn-MICs - Chamada aberta para Bolsas STSM!</w:t>
      </w:r>
    </w:p>
    <w:p w14:paraId="253CBE39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 xml:space="preserve">O Comité de Atribuição de Bolsas da Acção COST CA19119, iCOn-MICs: Investigação sobre banda desenhada e romances gráficos no Espaço Cultural Ibérico disponibiliza para o seu terceiro Grant Period (GP3) </w:t>
      </w:r>
      <w:r w:rsidRPr="00D7560E">
        <w:rPr>
          <w:rFonts w:ascii="Garamond" w:eastAsia="Times New Roman" w:hAnsi="Garamond" w:cs="Arial"/>
          <w:b/>
          <w:bCs/>
          <w:color w:val="111111"/>
          <w:sz w:val="27"/>
          <w:szCs w:val="27"/>
          <w:lang w:val="pt-PT" w:eastAsia="en-GB"/>
        </w:rPr>
        <w:t>Missões Científicas de Curta Duração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 xml:space="preserve"> (STSM) que prestam apoio financeiro aos candidatos elegíveis para a realização de um projecto que contribua para os objectivos científicos desta Acção. Desta vez, não haverá prazo para a apresentação de candidaturas e, em vez disso, o Comité aceitará candidaturas de forma contínua até ao final do GP3 (Outubro 2023).</w:t>
      </w:r>
    </w:p>
    <w:p w14:paraId="265A641B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b/>
          <w:bCs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b/>
          <w:bCs/>
          <w:color w:val="111111"/>
          <w:sz w:val="27"/>
          <w:szCs w:val="27"/>
          <w:lang w:val="pt-PT" w:eastAsia="en-GB"/>
        </w:rPr>
        <w:t>Note-se que, de acordo com a abertura da iCOn-MICs à região da América Latina, daremos preferência (embora não exclusividade) para este GP3 às missões dentro dos nossos países membros tais como o Chile, Peru, México, e Brasil.</w:t>
      </w:r>
    </w:p>
    <w:p w14:paraId="74BF19A6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 xml:space="preserve">A iCOn-MICs integra cinco grupos de trabalho: </w:t>
      </w:r>
    </w:p>
    <w:p w14:paraId="6247FE32" w14:textId="77777777" w:rsidR="00974634" w:rsidRPr="00D7560E" w:rsidRDefault="00974634" w:rsidP="00974634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WG1: Abordagem histórica ao património cultural da banda desenhada ibérica</w:t>
      </w:r>
    </w:p>
    <w:p w14:paraId="7EEFBEF8" w14:textId="77777777" w:rsidR="00974634" w:rsidRPr="00D7560E" w:rsidRDefault="00974634" w:rsidP="00974634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WG2: As metamorfoses da banda desenhada ibérica contemporânea</w:t>
      </w:r>
    </w:p>
    <w:p w14:paraId="4E7E2522" w14:textId="77777777" w:rsidR="00974634" w:rsidRPr="00D7560E" w:rsidRDefault="00974634" w:rsidP="00974634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WG3: A banda desenhada ibérica como forma de diálogo intercultural</w:t>
      </w:r>
    </w:p>
    <w:p w14:paraId="586358B3" w14:textId="77777777" w:rsidR="00974634" w:rsidRPr="00D7560E" w:rsidRDefault="00974634" w:rsidP="00974634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WG4: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ab/>
        <w:t>Construir pontes para a transmissão investigação-sociedade-indústria</w:t>
      </w:r>
    </w:p>
    <w:p w14:paraId="764EB293" w14:textId="77777777" w:rsidR="00974634" w:rsidRPr="00D7560E" w:rsidRDefault="00974634" w:rsidP="00974634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WG5: A banda desenhada ibérica como ferramenta para o ensino, aprendizagem e comunicação</w:t>
      </w:r>
    </w:p>
    <w:p w14:paraId="4425B2A7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Temos também um WG transversal, ‘autorAs’, WGAS, dedicado ao estudo da banda desenhada produzida por mulheres na área cultural ibérica, ao qual se pode aderir após a inscrição num dos WG principais.</w:t>
      </w:r>
    </w:p>
    <w:p w14:paraId="7543973E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Os candidatos devem consultar o separador “Working Groups” no website iCOn-MICs (https://iconmics.hypotheses.org/) para mais informações sobre cada grupo de trabalho e ponderar em que grupo ou grupos o seu projeto se enquadra melhor. Note-se também que as bolsas STSM se tratam de uma contribuição fixa baseada no orçamento do candidato e na avaliação da sua candidatura. Esta bolsa não cobre necessariamente todas as despesas, uma vez que se destina apenas a contribuir para as despesas da viagem e da estada.</w:t>
      </w:r>
    </w:p>
    <w:p w14:paraId="3D0E18EA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b/>
          <w:bCs/>
          <w:color w:val="111111"/>
          <w:sz w:val="27"/>
          <w:szCs w:val="27"/>
          <w:bdr w:val="none" w:sz="0" w:space="0" w:color="auto" w:frame="1"/>
          <w:lang w:val="pt-PT" w:eastAsia="en-GB"/>
        </w:rPr>
      </w:pPr>
      <w:r w:rsidRPr="00D7560E">
        <w:rPr>
          <w:rFonts w:ascii="Garamond" w:eastAsia="Times New Roman" w:hAnsi="Garamond" w:cs="Arial"/>
          <w:b/>
          <w:bCs/>
          <w:color w:val="111111"/>
          <w:sz w:val="27"/>
          <w:szCs w:val="27"/>
          <w:bdr w:val="none" w:sz="0" w:space="0" w:color="auto" w:frame="1"/>
          <w:lang w:val="pt-PT" w:eastAsia="en-GB"/>
        </w:rPr>
        <w:t>As bolsas STSM estão abertas a todos os investigadores em instituições e países que participam na Acção COST iCOn-MICs ou em instituições homologadas. As STSM devem ser realizadas entre países COST – os requerentes não podem candidatar-se a uma STSM nos seus próprios países.</w:t>
      </w:r>
    </w:p>
    <w:p w14:paraId="504961CC" w14:textId="77777777" w:rsidR="00F84E30" w:rsidRPr="00974634" w:rsidRDefault="00F84E30" w:rsidP="00F84E30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</w:pPr>
      <w:r w:rsidRPr="00D7560E">
        <w:rPr>
          <w:rFonts w:ascii="Garamond" w:eastAsia="Times New Roman" w:hAnsi="Garamond" w:cs="Arial"/>
          <w:b/>
          <w:bCs/>
          <w:color w:val="444444"/>
          <w:spacing w:val="-11"/>
          <w:sz w:val="51"/>
          <w:szCs w:val="51"/>
          <w:u w:val="single"/>
          <w:bdr w:val="none" w:sz="0" w:space="0" w:color="auto" w:frame="1"/>
          <w:lang w:val="pt-PT" w:eastAsia="en-GB"/>
        </w:rPr>
        <w:t>iCOn-MICs - Chamada aberta para Bolsas STSM!</w:t>
      </w:r>
    </w:p>
    <w:p w14:paraId="5687C29C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eastAsia="en-GB"/>
        </w:rPr>
      </w:pPr>
      <w:proofErr w:type="spellStart"/>
      <w:r w:rsidRPr="00D7560E">
        <w:rPr>
          <w:rFonts w:ascii="Garamond" w:eastAsia="Times New Roman" w:hAnsi="Garamond" w:cs="Arial"/>
          <w:b/>
          <w:bCs/>
          <w:color w:val="111111"/>
          <w:sz w:val="27"/>
          <w:szCs w:val="27"/>
          <w:bdr w:val="none" w:sz="0" w:space="0" w:color="auto" w:frame="1"/>
          <w:lang w:eastAsia="en-GB"/>
        </w:rPr>
        <w:lastRenderedPageBreak/>
        <w:t>Regras</w:t>
      </w:r>
      <w:proofErr w:type="spellEnd"/>
      <w:r w:rsidRPr="00D7560E">
        <w:rPr>
          <w:rFonts w:ascii="Garamond" w:eastAsia="Times New Roman" w:hAnsi="Garamond" w:cs="Arial"/>
          <w:b/>
          <w:bCs/>
          <w:color w:val="111111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D7560E">
        <w:rPr>
          <w:rFonts w:ascii="Garamond" w:eastAsia="Times New Roman" w:hAnsi="Garamond" w:cs="Arial"/>
          <w:b/>
          <w:bCs/>
          <w:color w:val="111111"/>
          <w:sz w:val="27"/>
          <w:szCs w:val="27"/>
          <w:bdr w:val="none" w:sz="0" w:space="0" w:color="auto" w:frame="1"/>
          <w:lang w:eastAsia="en-GB"/>
        </w:rPr>
        <w:t>gerais</w:t>
      </w:r>
      <w:proofErr w:type="spellEnd"/>
    </w:p>
    <w:p w14:paraId="3141B590" w14:textId="77777777" w:rsidR="00974634" w:rsidRPr="00D7560E" w:rsidRDefault="00974634" w:rsidP="0097463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Os candidatos devem ler com atenção as regras de financiamento detalhadas na Secção 8 do 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fldChar w:fldCharType="begin"/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instrText xml:space="preserve"> HYPERLINK "https://www.cost.eu/wp-content/uploads/2020/06/Vademecum-V8-1-May-20202.pdf" \t "_blank" </w:instrTex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fldChar w:fldCharType="separate"/>
      </w:r>
      <w:r w:rsidRPr="00D7560E">
        <w:rPr>
          <w:rFonts w:ascii="Garamond" w:eastAsia="Times New Roman" w:hAnsi="Garamond" w:cs="Arial"/>
          <w:color w:val="0A4E8F"/>
          <w:sz w:val="27"/>
          <w:szCs w:val="27"/>
          <w:u w:val="single"/>
          <w:bdr w:val="none" w:sz="0" w:space="0" w:color="auto" w:frame="1"/>
          <w:lang w:val="pt-PT" w:eastAsia="en-GB"/>
        </w:rPr>
        <w:t>Vademecum da COST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fldChar w:fldCharType="end"/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, incluindo as Regras de Elegibilidade, Avaliação e Seleção dos Candidatos, Critérios para as STSM e Apoio Financeiro. Também encorajamos os candidatos a ler estes outros documentos relevantes: o Guia do Utilizador da STSM, o documento sobre o Tratamento de Pedidos de Viagem, e as Regras de Reembolso de Viagem.</w:t>
      </w:r>
    </w:p>
    <w:p w14:paraId="40DF1574" w14:textId="77777777" w:rsidR="00974634" w:rsidRPr="00D7560E" w:rsidRDefault="00974634" w:rsidP="0097463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Os candidatos devem candidatar-se utilizando a plataforma e-COST, preenchendo, submetendo, e descarregando a sua candidatura STSM online em </w:t>
      </w:r>
      <w:r>
        <w:fldChar w:fldCharType="begin"/>
      </w:r>
      <w:r>
        <w:instrText>HYPERLINK "https://e-services.cost.eu/activity/grants"</w:instrText>
      </w:r>
      <w:r>
        <w:fldChar w:fldCharType="separate"/>
      </w:r>
      <w:r w:rsidRPr="00D7560E">
        <w:rPr>
          <w:rStyle w:val="Hyperlink"/>
          <w:rFonts w:ascii="Garamond" w:eastAsia="Times New Roman" w:hAnsi="Garamond" w:cs="Arial"/>
          <w:b/>
          <w:bCs/>
          <w:sz w:val="27"/>
          <w:szCs w:val="27"/>
          <w:bdr w:val="none" w:sz="0" w:space="0" w:color="auto" w:frame="1"/>
          <w:lang w:val="pt-PT" w:eastAsia="en-GB"/>
        </w:rPr>
        <w:t>https://e-services.cost.eu/activity/grants</w:t>
      </w:r>
      <w:r>
        <w:rPr>
          <w:rStyle w:val="Hyperlink"/>
          <w:rFonts w:ascii="Garamond" w:eastAsia="Times New Roman" w:hAnsi="Garamond" w:cs="Arial"/>
          <w:b/>
          <w:bCs/>
          <w:sz w:val="27"/>
          <w:szCs w:val="27"/>
          <w:bdr w:val="none" w:sz="0" w:space="0" w:color="auto" w:frame="1"/>
          <w:lang w:val="pt-PT" w:eastAsia="en-GB"/>
        </w:rPr>
        <w:fldChar w:fldCharType="end"/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; durante este processo, os candidatos devem preparar um CV atualizado, uma carta de aceitação pela instituição de acolhimento e uma carta de apoio da sua instituição de origem. Se o candidato ainda não possuir uma conta e-COST, terá primeiro de “criar uma conta”, o que implica fornecer os detalhes da conta bancária onde a bolsa será depositada se a sua candidatura à STSM for aprovada e a STSM completada.</w:t>
      </w:r>
    </w:p>
    <w:p w14:paraId="4946C933" w14:textId="77777777" w:rsidR="00974634" w:rsidRPr="00D7560E" w:rsidRDefault="00974634" w:rsidP="00974634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As candidaturas e todos os documentos relacionados com as candidaturas devem estar redigidos em inglês.</w:t>
      </w:r>
    </w:p>
    <w:p w14:paraId="3BA17D00" w14:textId="77777777" w:rsidR="00974634" w:rsidRPr="00D7560E" w:rsidRDefault="00974634" w:rsidP="0097463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O período mínimo de uma STSM é de cinco dias. Uma STSM deve igualmente ser realizada na sua totalidade dentro de um único Grant Period.</w:t>
      </w:r>
    </w:p>
    <w:p w14:paraId="3D4529D0" w14:textId="77777777" w:rsidR="00974634" w:rsidRPr="00D7560E" w:rsidRDefault="00974634" w:rsidP="00974634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A data de início mínima é de dois meses a partir do momento da candidatura, embora possa ser possível começar mais cedo em circunstâncias excecionais, se tal for aprovado pelo coordenador das STSMs.</w:t>
      </w:r>
    </w:p>
    <w:p w14:paraId="2161EEF9" w14:textId="77777777" w:rsidR="00974634" w:rsidRPr="00D7560E" w:rsidRDefault="00974634" w:rsidP="00974634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O tema da STSM fica ao critério do candidato, mas deve idealmente relacionar-se com uma das atividades dos grupos de trabalho do iCOn-MICS.</w:t>
      </w:r>
    </w:p>
    <w:p w14:paraId="45199B33" w14:textId="77777777" w:rsidR="00974634" w:rsidRPr="00D7560E" w:rsidRDefault="00974634" w:rsidP="00974634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A bolsa será reembolsada </w:t>
      </w:r>
      <w:r w:rsidRPr="00D7560E">
        <w:rPr>
          <w:rFonts w:ascii="Garamond" w:eastAsia="Times New Roman" w:hAnsi="Garamond" w:cs="Arial"/>
          <w:b/>
          <w:bCs/>
          <w:color w:val="111111"/>
          <w:sz w:val="27"/>
          <w:szCs w:val="27"/>
          <w:bdr w:val="none" w:sz="0" w:space="0" w:color="auto" w:frame="1"/>
          <w:lang w:val="pt-PT" w:eastAsia="en-GB"/>
        </w:rPr>
        <w:t>DEPOIS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 da conclusão da missão do bolseiro e da apresentação de um relatório escrito sobre as atividades realizadas durante a STSM, no prazo de 30 dias após o final da missão. Os candidatos devem </w:t>
      </w:r>
      <w:r w:rsidRPr="00D7560E">
        <w:rPr>
          <w:rFonts w:ascii="Garamond" w:eastAsia="Times New Roman" w:hAnsi="Garamond" w:cs="Arial"/>
          <w:b/>
          <w:bCs/>
          <w:color w:val="111111"/>
          <w:sz w:val="27"/>
          <w:szCs w:val="27"/>
          <w:bdr w:val="none" w:sz="0" w:space="0" w:color="auto" w:frame="1"/>
          <w:lang w:val="pt-PT" w:eastAsia="en-GB"/>
        </w:rPr>
        <w:t>cumprir os prazos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, ou não serão reembolsados.</w:t>
      </w:r>
    </w:p>
    <w:p w14:paraId="0263DE14" w14:textId="77777777" w:rsidR="00974634" w:rsidRPr="00D7560E" w:rsidRDefault="00974634" w:rsidP="00974634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Os investigadores provenientes dos Países Alvo de Inclusão (</w:t>
      </w:r>
      <w:r w:rsidRPr="00D7560E">
        <w:rPr>
          <w:rFonts w:ascii="Garamond" w:eastAsia="Times New Roman" w:hAnsi="Garamond" w:cs="Arial"/>
          <w:i/>
          <w:iCs/>
          <w:color w:val="111111"/>
          <w:sz w:val="27"/>
          <w:szCs w:val="27"/>
          <w:bdr w:val="none" w:sz="0" w:space="0" w:color="auto" w:frame="1"/>
          <w:lang w:val="pt-PT" w:eastAsia="en-GB"/>
        </w:rPr>
        <w:t>Inclusiveness Target Country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 ou ITCs) podem receber 50% da bolsa ao completarem o primeiro dia do STSM. Os restantes 50% serão pagos depois do bolseiro ter completado a sua missão e apresentado o relatório.</w:t>
      </w:r>
    </w:p>
    <w:p w14:paraId="4C4B63FB" w14:textId="77777777" w:rsidR="00974634" w:rsidRPr="00D7560E" w:rsidRDefault="00974634" w:rsidP="00974634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Os bolseiros das STSM devem providenciar todas as medidas relacionadas com a sua segurança pessoal, saúde, segurança social, e pensões.</w:t>
      </w:r>
    </w:p>
    <w:p w14:paraId="03476F4E" w14:textId="77777777" w:rsidR="00974634" w:rsidRPr="00D7560E" w:rsidRDefault="00974634" w:rsidP="00974634">
      <w:p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</w:p>
    <w:p w14:paraId="6685A2A7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b/>
          <w:bCs/>
          <w:color w:val="111111"/>
          <w:sz w:val="27"/>
          <w:szCs w:val="27"/>
          <w:bdr w:val="none" w:sz="0" w:space="0" w:color="auto" w:frame="1"/>
          <w:lang w:val="pt-PT" w:eastAsia="en-GB"/>
        </w:rPr>
        <w:lastRenderedPageBreak/>
        <w:t>Critérios de avaliação</w:t>
      </w:r>
    </w:p>
    <w:p w14:paraId="2FBDDE07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As bolsas das STSM são concedidas de acordo com os princípios-chave de excelência, inclusividade e equilíbrio da COST:</w:t>
      </w:r>
    </w:p>
    <w:p w14:paraId="21FB789A" w14:textId="77777777" w:rsidR="00974634" w:rsidRPr="00D7560E" w:rsidRDefault="00974634" w:rsidP="00974634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A qualidade do candidato baseia-se na sua candidatura escrita.</w:t>
      </w:r>
    </w:p>
    <w:p w14:paraId="474E7F6A" w14:textId="77777777" w:rsidR="00974634" w:rsidRPr="00D7560E" w:rsidRDefault="00974634" w:rsidP="00974634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O equilíbrio de género, institucional e geográfico será tomado em consideração, bem como o equilíbrio global de STSMs atribuído a cada grupo de trabalho.</w:t>
      </w:r>
    </w:p>
    <w:p w14:paraId="297AECB0" w14:textId="77777777" w:rsidR="00974634" w:rsidRPr="00D7560E" w:rsidRDefault="00974634" w:rsidP="00974634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Os candidatos provenientes dos Países Alvo da Inclusividade (ITCs) também têm prioridade. Estes são Albânia, Bósnia e Herzegovina, Bulgária, Croácia, Chipre, República Checa, Estónia, Grécia, Macedônia do Norte, Hungria, Letónia, Lituânia, Malta, Moldávia, Montenegro, Polónia, Portugal, Roménia, Sérvia, Eslováquia, Eslovénia, e Turquia.</w:t>
      </w:r>
    </w:p>
    <w:p w14:paraId="6BD6D3FB" w14:textId="77777777" w:rsidR="00974634" w:rsidRPr="00D7560E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 xml:space="preserve">O Comité das STSM pontua os candidatos como A (90% ou mais), B (89-80%), C (70-79%), D (65-69%), ou E (65% ou menos), somando as pontuações de toda a proposta de investigação e das suas partes. </w:t>
      </w:r>
      <w:proofErr w:type="spellStart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>Os</w:t>
      </w:r>
      <w:proofErr w:type="spellEnd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 xml:space="preserve"> </w:t>
      </w:r>
      <w:proofErr w:type="spellStart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>critérios</w:t>
      </w:r>
      <w:proofErr w:type="spellEnd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 xml:space="preserve"> de </w:t>
      </w:r>
      <w:proofErr w:type="spellStart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>avaliação</w:t>
      </w:r>
      <w:proofErr w:type="spellEnd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 xml:space="preserve"> </w:t>
      </w:r>
      <w:proofErr w:type="spellStart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>são</w:t>
      </w:r>
      <w:proofErr w:type="spellEnd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 xml:space="preserve"> </w:t>
      </w:r>
      <w:proofErr w:type="spellStart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>os</w:t>
      </w:r>
      <w:proofErr w:type="spellEnd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 xml:space="preserve"> </w:t>
      </w:r>
      <w:proofErr w:type="spellStart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>seguintes</w:t>
      </w:r>
      <w:proofErr w:type="spellEnd"/>
      <w:r w:rsidRPr="00D7560E">
        <w:rPr>
          <w:rFonts w:ascii="Garamond" w:eastAsia="Times New Roman" w:hAnsi="Garamond" w:cs="Arial"/>
          <w:color w:val="111111"/>
          <w:sz w:val="27"/>
          <w:szCs w:val="27"/>
          <w:lang w:eastAsia="en-GB"/>
        </w:rPr>
        <w:t>:</w:t>
      </w:r>
    </w:p>
    <w:p w14:paraId="2B8F3F4B" w14:textId="77777777" w:rsidR="00974634" w:rsidRPr="00D7560E" w:rsidRDefault="00974634" w:rsidP="00974634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i/>
          <w:iCs/>
          <w:color w:val="111111"/>
          <w:sz w:val="27"/>
          <w:szCs w:val="27"/>
          <w:bdr w:val="none" w:sz="0" w:space="0" w:color="auto" w:frame="1"/>
          <w:lang w:val="pt-PT" w:eastAsia="en-GB"/>
        </w:rPr>
        <w:t>A relevância e aplicabilidade da investigação aos objetivos científicos e ao âmbito da Ação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. Um plano de trabalho detalhado com prazos ajuda a determinar se a candidatura está em conformidade com os objetivos globais da Ação (1-5 pontos).</w:t>
      </w:r>
    </w:p>
    <w:p w14:paraId="317BE482" w14:textId="77777777" w:rsidR="00974634" w:rsidRPr="00D7560E" w:rsidRDefault="00974634" w:rsidP="00974634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i/>
          <w:iCs/>
          <w:color w:val="111111"/>
          <w:sz w:val="27"/>
          <w:szCs w:val="27"/>
          <w:bdr w:val="none" w:sz="0" w:space="0" w:color="auto" w:frame="1"/>
          <w:lang w:val="pt-PT" w:eastAsia="en-GB"/>
        </w:rPr>
        <w:t>A qualidade e clareza da investigação proposta.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 A candidatura deve fundamentar a importância e a oportunidade da investigação (1-5 pontos).</w:t>
      </w:r>
    </w:p>
    <w:p w14:paraId="78FA14E8" w14:textId="77777777" w:rsidR="00974634" w:rsidRPr="00D7560E" w:rsidRDefault="00974634" w:rsidP="00974634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i/>
          <w:iCs/>
          <w:color w:val="111111"/>
          <w:sz w:val="27"/>
          <w:szCs w:val="27"/>
          <w:bdr w:val="none" w:sz="0" w:space="0" w:color="auto" w:frame="1"/>
          <w:lang w:val="pt-PT" w:eastAsia="en-GB"/>
        </w:rPr>
        <w:t>A escolha da instituição de acolhimento.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 O candidato deve apresentar razões específicas de carácter científico para se deslocar à sua instituição de acolhimento que escolheu. O envolvimento dos países ITC é uma mais-valia (1-5 pontos).</w:t>
      </w:r>
    </w:p>
    <w:p w14:paraId="2D0105A3" w14:textId="77777777" w:rsidR="00974634" w:rsidRPr="00D7560E" w:rsidRDefault="00974634" w:rsidP="00974634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i/>
          <w:iCs/>
          <w:color w:val="111111"/>
          <w:sz w:val="27"/>
          <w:szCs w:val="27"/>
          <w:bdr w:val="none" w:sz="0" w:space="0" w:color="auto" w:frame="1"/>
          <w:lang w:val="pt-PT" w:eastAsia="en-GB"/>
        </w:rPr>
        <w:t>A instituição de origem do investigador.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  Levamos em conta o número de candidaturas de cada instituição para assegurar uma distribuição justa da investigação pela rede. O envolvimento dos países do ITC é uma mais-valia (1-5 pontos).</w:t>
      </w:r>
    </w:p>
    <w:p w14:paraId="1B4213B6" w14:textId="77777777" w:rsidR="00974634" w:rsidRPr="00D7560E" w:rsidRDefault="00974634" w:rsidP="00974634">
      <w:pPr>
        <w:numPr>
          <w:ilvl w:val="0"/>
          <w:numId w:val="17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i/>
          <w:iCs/>
          <w:color w:val="111111"/>
          <w:sz w:val="27"/>
          <w:szCs w:val="27"/>
          <w:bdr w:val="none" w:sz="0" w:space="0" w:color="auto" w:frame="1"/>
          <w:lang w:val="pt-PT" w:eastAsia="en-GB"/>
        </w:rPr>
        <w:t>O perfil do investigador.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 Tomamos em consideração o potencial do investigador para completar a STSM com base no seu trabalho anterior e nas produções proporcionais à fase da sua carreira (1-5 pontos).</w:t>
      </w:r>
    </w:p>
    <w:p w14:paraId="50FAEA42" w14:textId="77777777" w:rsidR="00974634" w:rsidRPr="00D7560E" w:rsidRDefault="00974634" w:rsidP="00974634">
      <w:pPr>
        <w:numPr>
          <w:ilvl w:val="0"/>
          <w:numId w:val="18"/>
        </w:num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i/>
          <w:iCs/>
          <w:color w:val="111111"/>
          <w:sz w:val="27"/>
          <w:szCs w:val="27"/>
          <w:bdr w:val="none" w:sz="0" w:space="0" w:color="auto" w:frame="1"/>
          <w:lang w:val="pt-PT" w:eastAsia="en-GB"/>
        </w:rPr>
        <w:t>O potencial em termos de publicação/resultados da investigação realizada.</w:t>
      </w: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 Com base no plano de trabalho da STSM e num plano detalhado de publicações/resultados (1-5 pontos).</w:t>
      </w:r>
    </w:p>
    <w:p w14:paraId="44F9C835" w14:textId="77777777" w:rsidR="00974634" w:rsidRPr="00D7560E" w:rsidRDefault="00974634" w:rsidP="00974634">
      <w:pPr>
        <w:shd w:val="clear" w:color="auto" w:fill="FFFFFF"/>
        <w:spacing w:before="120" w:after="120" w:line="240" w:lineRule="auto"/>
        <w:ind w:left="1395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</w:p>
    <w:p w14:paraId="3D82781D" w14:textId="77777777" w:rsidR="00974634" w:rsidRPr="003C3957" w:rsidRDefault="00974634" w:rsidP="00974634">
      <w:pPr>
        <w:shd w:val="clear" w:color="auto" w:fill="FFFFFF"/>
        <w:spacing w:before="120" w:after="120" w:line="240" w:lineRule="auto"/>
        <w:textAlignment w:val="baseline"/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</w:pPr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Nota: Em caso de dúvidas, contactar a Coordenadora das Bolsas Ana Matilde Sousa (</w:t>
      </w:r>
      <w:hyperlink r:id="rId5" w:history="1">
        <w:r w:rsidRPr="00D7560E">
          <w:rPr>
            <w:rFonts w:ascii="Garamond" w:eastAsia="Times New Roman" w:hAnsi="Garamond" w:cs="Arial"/>
            <w:color w:val="0A4E8F"/>
            <w:sz w:val="27"/>
            <w:szCs w:val="27"/>
            <w:u w:val="single"/>
            <w:bdr w:val="none" w:sz="0" w:space="0" w:color="auto" w:frame="1"/>
            <w:lang w:val="pt-PT" w:eastAsia="en-GB"/>
          </w:rPr>
          <w:t>asousa@campus.ul.pt</w:t>
        </w:r>
      </w:hyperlink>
      <w:r w:rsidRPr="00D7560E">
        <w:rPr>
          <w:rFonts w:ascii="Garamond" w:eastAsia="Times New Roman" w:hAnsi="Garamond" w:cs="Arial"/>
          <w:color w:val="111111"/>
          <w:sz w:val="27"/>
          <w:szCs w:val="27"/>
          <w:lang w:val="pt-PT" w:eastAsia="en-GB"/>
        </w:rPr>
        <w:t>).</w:t>
      </w:r>
    </w:p>
    <w:p w14:paraId="489EE5D7" w14:textId="77777777" w:rsidR="001C218C" w:rsidRDefault="001C218C"/>
    <w:sectPr w:rsidR="001C2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113"/>
    <w:multiLevelType w:val="multilevel"/>
    <w:tmpl w:val="966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54165"/>
    <w:multiLevelType w:val="multilevel"/>
    <w:tmpl w:val="040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A4770"/>
    <w:multiLevelType w:val="multilevel"/>
    <w:tmpl w:val="8AB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F6693"/>
    <w:multiLevelType w:val="hybridMultilevel"/>
    <w:tmpl w:val="B602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2116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91473060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60611416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74490652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00447660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4636587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40973779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61201367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70263598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49953898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239747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20999484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03615535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6659317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72896314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53800210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79243874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205654422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654720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34"/>
    <w:rsid w:val="001C218C"/>
    <w:rsid w:val="00974634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A3D1"/>
  <w15:chartTrackingRefBased/>
  <w15:docId w15:val="{436A7FF7-0753-4605-A104-EBC1382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ousa@campus.ul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5971</Characters>
  <Application>Microsoft Office Word</Application>
  <DocSecurity>0</DocSecurity>
  <Lines>49</Lines>
  <Paragraphs>14</Paragraphs>
  <ScaleCrop>false</ScaleCrop>
  <Company>University of Kent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Lazaro-Reboll</dc:creator>
  <cp:keywords/>
  <dc:description/>
  <cp:lastModifiedBy>Antonio Lazaro-Reboll</cp:lastModifiedBy>
  <cp:revision>2</cp:revision>
  <dcterms:created xsi:type="dcterms:W3CDTF">2023-01-15T16:38:00Z</dcterms:created>
  <dcterms:modified xsi:type="dcterms:W3CDTF">2023-01-15T16:39:00Z</dcterms:modified>
</cp:coreProperties>
</file>