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39" w:rsidRPr="004763C9" w:rsidRDefault="008B6539" w:rsidP="008B6539">
      <w:pPr>
        <w:jc w:val="center"/>
        <w:rPr>
          <w:rFonts w:ascii="Book Antiqua" w:hAnsi="Book Antiqua"/>
          <w:b/>
          <w:lang w:val="es-ES"/>
        </w:rPr>
      </w:pPr>
      <w:proofErr w:type="spellStart"/>
      <w:r>
        <w:rPr>
          <w:rFonts w:ascii="Book Antiqua" w:hAnsi="Book Antiqua"/>
          <w:b/>
          <w:lang w:val="es-ES"/>
        </w:rPr>
        <w:t>CfP</w:t>
      </w:r>
      <w:proofErr w:type="spellEnd"/>
      <w:r>
        <w:rPr>
          <w:rFonts w:ascii="Book Antiqua" w:hAnsi="Book Antiqua"/>
          <w:b/>
          <w:lang w:val="es-ES"/>
        </w:rPr>
        <w:t xml:space="preserve">: </w:t>
      </w:r>
      <w:r w:rsidRPr="004763C9">
        <w:rPr>
          <w:rFonts w:ascii="Book Antiqua" w:hAnsi="Book Antiqua"/>
          <w:b/>
          <w:lang w:val="es-ES"/>
        </w:rPr>
        <w:t xml:space="preserve">Historia(s) de la presencia - Realidades virtuales en el teatro de la </w:t>
      </w:r>
      <w:r>
        <w:rPr>
          <w:rFonts w:ascii="Book Antiqua" w:hAnsi="Book Antiqua"/>
          <w:b/>
          <w:lang w:val="es-ES"/>
        </w:rPr>
        <w:t>temprana modernidad (24-27/9/2023, Leipzig)</w:t>
      </w:r>
    </w:p>
    <w:p w:rsidR="008B6539" w:rsidRPr="004763C9" w:rsidRDefault="008B6539" w:rsidP="008B6539">
      <w:pPr>
        <w:jc w:val="center"/>
        <w:rPr>
          <w:rFonts w:ascii="Book Antiqua" w:hAnsi="Book Antiqua"/>
          <w:b/>
          <w:lang w:val="es-ES"/>
        </w:rPr>
      </w:pPr>
    </w:p>
    <w:p w:rsidR="008B6539" w:rsidRPr="008B6539" w:rsidRDefault="008B6539" w:rsidP="008B6539">
      <w:pPr>
        <w:spacing w:line="360" w:lineRule="auto"/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En esta</w:t>
      </w:r>
      <w:r w:rsidRPr="004763C9">
        <w:rPr>
          <w:rFonts w:ascii="Book Antiqua" w:hAnsi="Book Antiqua"/>
          <w:lang w:val="es-ES"/>
        </w:rPr>
        <w:t xml:space="preserve"> sección </w:t>
      </w:r>
      <w:r>
        <w:rPr>
          <w:rFonts w:ascii="Book Antiqua" w:hAnsi="Book Antiqua"/>
          <w:lang w:val="es-ES"/>
        </w:rPr>
        <w:t xml:space="preserve">del </w:t>
      </w:r>
      <w:r w:rsidRPr="008B6539">
        <w:rPr>
          <w:rFonts w:ascii="Book Antiqua" w:hAnsi="Book Antiqua"/>
          <w:i/>
          <w:lang w:val="es-ES"/>
        </w:rPr>
        <w:t>Congreso de la Asociación Alemana de Romanistas (</w:t>
      </w:r>
      <w:proofErr w:type="spellStart"/>
      <w:r w:rsidRPr="008B6539">
        <w:rPr>
          <w:rFonts w:ascii="Book Antiqua" w:hAnsi="Book Antiqua"/>
          <w:i/>
          <w:lang w:val="es-ES"/>
        </w:rPr>
        <w:t>Romanistentag</w:t>
      </w:r>
      <w:proofErr w:type="spellEnd"/>
      <w:r w:rsidRPr="008B6539">
        <w:rPr>
          <w:rFonts w:ascii="Book Antiqua" w:hAnsi="Book Antiqua"/>
          <w:i/>
          <w:lang w:val="es-ES"/>
        </w:rPr>
        <w:t xml:space="preserve"> 2023)</w:t>
      </w:r>
      <w:r>
        <w:rPr>
          <w:rFonts w:ascii="Book Antiqua" w:hAnsi="Book Antiqua"/>
          <w:lang w:val="es-ES"/>
        </w:rPr>
        <w:t xml:space="preserve"> queremos explorar </w:t>
      </w:r>
      <w:r w:rsidRPr="004763C9">
        <w:rPr>
          <w:rFonts w:ascii="Book Antiqua" w:hAnsi="Book Antiqua"/>
          <w:lang w:val="es-ES"/>
        </w:rPr>
        <w:t xml:space="preserve">la relación entre presencia y virtualidad en el teatro de la temprana Edad Moderna. La particularidad del género del teatro permite </w:t>
      </w:r>
      <w:r>
        <w:rPr>
          <w:rFonts w:ascii="Book Antiqua" w:hAnsi="Book Antiqua"/>
          <w:lang w:val="es-ES"/>
        </w:rPr>
        <w:t>examinar</w:t>
      </w:r>
      <w:r w:rsidRPr="004763C9">
        <w:rPr>
          <w:rFonts w:ascii="Book Antiqua" w:hAnsi="Book Antiqua"/>
          <w:lang w:val="es-ES"/>
        </w:rPr>
        <w:t xml:space="preserve"> tanto el texto dramático como </w:t>
      </w:r>
      <w:r>
        <w:rPr>
          <w:rFonts w:ascii="Book Antiqua" w:hAnsi="Book Antiqua"/>
          <w:lang w:val="es-ES"/>
        </w:rPr>
        <w:t xml:space="preserve">también </w:t>
      </w:r>
      <w:r w:rsidRPr="004763C9">
        <w:rPr>
          <w:rFonts w:ascii="Book Antiqua" w:hAnsi="Book Antiqua"/>
          <w:lang w:val="es-ES"/>
        </w:rPr>
        <w:t xml:space="preserve">la práctica teatral </w:t>
      </w:r>
      <w:r>
        <w:rPr>
          <w:rFonts w:ascii="Book Antiqua" w:hAnsi="Book Antiqua"/>
          <w:lang w:val="es-ES"/>
        </w:rPr>
        <w:t>según</w:t>
      </w:r>
      <w:r w:rsidRPr="004763C9">
        <w:rPr>
          <w:rFonts w:ascii="Book Antiqua" w:hAnsi="Book Antiqua"/>
          <w:lang w:val="es-ES"/>
        </w:rPr>
        <w:t xml:space="preserve"> la relevancia que otorgan a la presencia y </w:t>
      </w:r>
      <w:r>
        <w:rPr>
          <w:rFonts w:ascii="Book Antiqua" w:hAnsi="Book Antiqua"/>
          <w:lang w:val="es-ES"/>
        </w:rPr>
        <w:t xml:space="preserve">a </w:t>
      </w:r>
      <w:r w:rsidRPr="004763C9">
        <w:rPr>
          <w:rFonts w:ascii="Book Antiqua" w:hAnsi="Book Antiqua"/>
          <w:lang w:val="es-ES"/>
        </w:rPr>
        <w:t xml:space="preserve">la virtualidad. Por lo tanto, ofrece </w:t>
      </w:r>
      <w:r>
        <w:rPr>
          <w:rFonts w:ascii="Book Antiqua" w:hAnsi="Book Antiqua"/>
          <w:lang w:val="es-ES"/>
        </w:rPr>
        <w:t xml:space="preserve">numerosas </w:t>
      </w:r>
      <w:r w:rsidRPr="004763C9">
        <w:rPr>
          <w:rFonts w:ascii="Book Antiqua" w:hAnsi="Book Antiqua"/>
          <w:lang w:val="es-ES"/>
        </w:rPr>
        <w:t xml:space="preserve">oportunidades para corroborar la actualización del concepto de presencia y la retransmisión de la comprensión contemporánea de la virtualidad. </w:t>
      </w:r>
    </w:p>
    <w:p w:rsidR="008B6539" w:rsidRPr="004763C9" w:rsidRDefault="008B6539" w:rsidP="008B6539">
      <w:pPr>
        <w:spacing w:line="360" w:lineRule="auto"/>
        <w:ind w:firstLine="567"/>
        <w:jc w:val="both"/>
        <w:rPr>
          <w:rFonts w:ascii="Book Antiqua" w:hAnsi="Book Antiqua"/>
          <w:lang w:val="es-ES"/>
        </w:rPr>
      </w:pPr>
      <w:r w:rsidRPr="004763C9">
        <w:rPr>
          <w:rFonts w:ascii="Book Antiqua" w:hAnsi="Book Antiqua"/>
          <w:lang w:val="es-ES"/>
        </w:rPr>
        <w:t>La posición mod</w:t>
      </w:r>
      <w:r>
        <w:rPr>
          <w:rFonts w:ascii="Book Antiqua" w:hAnsi="Book Antiqua"/>
          <w:lang w:val="es-ES"/>
        </w:rPr>
        <w:t>élica</w:t>
      </w:r>
      <w:r w:rsidRPr="004763C9">
        <w:rPr>
          <w:rFonts w:ascii="Book Antiqua" w:hAnsi="Book Antiqua"/>
          <w:lang w:val="es-ES"/>
        </w:rPr>
        <w:t xml:space="preserve"> literario-histórica de Italia y la influencia del teatro español sobre el teatro francés hasta mediados del siglo XVII </w:t>
      </w:r>
      <w:r>
        <w:rPr>
          <w:rFonts w:ascii="Book Antiqua" w:hAnsi="Book Antiqua"/>
          <w:lang w:val="es-ES"/>
        </w:rPr>
        <w:t xml:space="preserve">respaldan </w:t>
      </w:r>
      <w:r w:rsidRPr="004763C9">
        <w:rPr>
          <w:rFonts w:ascii="Book Antiqua" w:hAnsi="Book Antiqua"/>
          <w:lang w:val="es-ES"/>
        </w:rPr>
        <w:t xml:space="preserve">una perspectiva transcultural sobre la relación entre presencia y virtualidad en el teatro de la temprana modernidad. </w:t>
      </w:r>
      <w:r>
        <w:rPr>
          <w:rFonts w:ascii="Book Antiqua" w:hAnsi="Book Antiqua"/>
          <w:lang w:val="es-ES"/>
        </w:rPr>
        <w:t>R</w:t>
      </w:r>
      <w:r w:rsidRPr="004763C9">
        <w:rPr>
          <w:rFonts w:ascii="Book Antiqua" w:hAnsi="Book Antiqua"/>
          <w:lang w:val="es-ES"/>
        </w:rPr>
        <w:t>esulta especialmente interesante examinar las diferencias y especificidades de cada país románico</w:t>
      </w:r>
      <w:r>
        <w:rPr>
          <w:rFonts w:ascii="Book Antiqua" w:hAnsi="Book Antiqua"/>
          <w:lang w:val="es-ES"/>
        </w:rPr>
        <w:t xml:space="preserve"> en este sentido</w:t>
      </w:r>
      <w:r w:rsidRPr="004763C9">
        <w:rPr>
          <w:rFonts w:ascii="Book Antiqua" w:hAnsi="Book Antiqua"/>
          <w:lang w:val="es-ES"/>
        </w:rPr>
        <w:t xml:space="preserve">, incluidos </w:t>
      </w:r>
      <w:proofErr w:type="gramStart"/>
      <w:r w:rsidRPr="004763C9">
        <w:rPr>
          <w:rFonts w:ascii="Book Antiqua" w:hAnsi="Book Antiqua"/>
          <w:lang w:val="es-ES"/>
        </w:rPr>
        <w:t>los no-europeos</w:t>
      </w:r>
      <w:proofErr w:type="gramEnd"/>
      <w:r w:rsidRPr="004763C9">
        <w:rPr>
          <w:rFonts w:ascii="Book Antiqua" w:hAnsi="Book Antiqua"/>
          <w:lang w:val="es-ES"/>
        </w:rPr>
        <w:t xml:space="preserve">. Desde una perspectiva global, cabe preguntarse cómo tratan la presencia las obras escritas en los espacios colonizados de la expansión europea – así, por ejemplo, la reducción de los efectos visualmente deslumbrantes en los </w:t>
      </w:r>
      <w:r w:rsidRPr="004763C9">
        <w:rPr>
          <w:rFonts w:ascii="Book Antiqua" w:hAnsi="Book Antiqua"/>
          <w:i/>
          <w:lang w:val="es-ES"/>
        </w:rPr>
        <w:t xml:space="preserve">autos sacramentales </w:t>
      </w:r>
      <w:r w:rsidRPr="004763C9">
        <w:rPr>
          <w:rFonts w:ascii="Book Antiqua" w:hAnsi="Book Antiqua"/>
          <w:lang w:val="es-ES"/>
        </w:rPr>
        <w:t xml:space="preserve">de Sor Juana Inés de la Cruz puede interpretarse como una superación </w:t>
      </w:r>
      <w:proofErr w:type="spellStart"/>
      <w:r w:rsidRPr="004763C9">
        <w:rPr>
          <w:rFonts w:ascii="Book Antiqua" w:hAnsi="Book Antiqua"/>
          <w:lang w:val="es-ES"/>
        </w:rPr>
        <w:t>multididáctica</w:t>
      </w:r>
      <w:proofErr w:type="spellEnd"/>
      <w:r w:rsidRPr="004763C9">
        <w:rPr>
          <w:rFonts w:ascii="Book Antiqua" w:hAnsi="Book Antiqua"/>
          <w:lang w:val="es-ES"/>
        </w:rPr>
        <w:t xml:space="preserve"> de modelos peninsulares y discursos coloniales (</w:t>
      </w:r>
      <w:proofErr w:type="spellStart"/>
      <w:r w:rsidRPr="004763C9">
        <w:rPr>
          <w:rFonts w:ascii="Book Antiqua" w:hAnsi="Book Antiqua"/>
          <w:lang w:val="es-ES"/>
        </w:rPr>
        <w:t>Ventarola</w:t>
      </w:r>
      <w:proofErr w:type="spellEnd"/>
      <w:r w:rsidRPr="004763C9">
        <w:rPr>
          <w:rFonts w:ascii="Book Antiqua" w:hAnsi="Book Antiqua"/>
          <w:lang w:val="es-ES"/>
        </w:rPr>
        <w:t xml:space="preserve"> 2018).</w:t>
      </w:r>
    </w:p>
    <w:p w:rsidR="008B6539" w:rsidRPr="004763C9" w:rsidRDefault="008B6539" w:rsidP="008B6539">
      <w:pPr>
        <w:spacing w:line="360" w:lineRule="auto"/>
        <w:ind w:firstLine="567"/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En </w:t>
      </w:r>
      <w:r w:rsidRPr="004763C9">
        <w:rPr>
          <w:rFonts w:ascii="Book Antiqua" w:hAnsi="Book Antiqua"/>
          <w:lang w:val="es-ES"/>
        </w:rPr>
        <w:t xml:space="preserve">la sección </w:t>
      </w:r>
      <w:r>
        <w:rPr>
          <w:rFonts w:ascii="Book Antiqua" w:hAnsi="Book Antiqua"/>
          <w:lang w:val="es-ES"/>
        </w:rPr>
        <w:t>se abordará</w:t>
      </w:r>
      <w:r w:rsidRPr="004763C9">
        <w:rPr>
          <w:rFonts w:ascii="Book Antiqua" w:hAnsi="Book Antiqua"/>
          <w:lang w:val="es-ES"/>
        </w:rPr>
        <w:t xml:space="preserve"> </w:t>
      </w:r>
      <w:r>
        <w:rPr>
          <w:rFonts w:ascii="Book Antiqua" w:hAnsi="Book Antiqua"/>
          <w:lang w:val="es-ES"/>
        </w:rPr>
        <w:t xml:space="preserve">un panorama </w:t>
      </w:r>
      <w:r w:rsidRPr="004763C9">
        <w:rPr>
          <w:rFonts w:ascii="Book Antiqua" w:hAnsi="Book Antiqua"/>
          <w:lang w:val="es-ES"/>
        </w:rPr>
        <w:t>general sobre la transición histórica de las ideas y sociedades de</w:t>
      </w:r>
      <w:r>
        <w:rPr>
          <w:rFonts w:ascii="Book Antiqua" w:hAnsi="Book Antiqua"/>
          <w:lang w:val="es-ES"/>
        </w:rPr>
        <w:t>sde</w:t>
      </w:r>
      <w:r w:rsidRPr="004763C9">
        <w:rPr>
          <w:rFonts w:ascii="Book Antiqua" w:hAnsi="Book Antiqua"/>
          <w:lang w:val="es-ES"/>
        </w:rPr>
        <w:t xml:space="preserve"> la temprana Edad Moderna </w:t>
      </w:r>
      <w:r>
        <w:rPr>
          <w:rFonts w:ascii="Book Antiqua" w:hAnsi="Book Antiqua"/>
          <w:lang w:val="es-ES"/>
        </w:rPr>
        <w:t xml:space="preserve">hasta </w:t>
      </w:r>
      <w:r w:rsidRPr="004763C9">
        <w:rPr>
          <w:rFonts w:ascii="Book Antiqua" w:hAnsi="Book Antiqua"/>
          <w:lang w:val="es-ES"/>
        </w:rPr>
        <w:t xml:space="preserve">la Ilustración. A finales de la temprana Edad Moderna, la presencia ya no es un medio legítimo de representación, como </w:t>
      </w:r>
      <w:r>
        <w:rPr>
          <w:rFonts w:ascii="Book Antiqua" w:hAnsi="Book Antiqua"/>
          <w:lang w:val="es-ES"/>
        </w:rPr>
        <w:t xml:space="preserve">se puede ver, por ejemplo, con </w:t>
      </w:r>
      <w:r w:rsidRPr="004763C9">
        <w:rPr>
          <w:rFonts w:ascii="Book Antiqua" w:hAnsi="Book Antiqua"/>
          <w:lang w:val="es-ES"/>
        </w:rPr>
        <w:t xml:space="preserve">la prohibición de los </w:t>
      </w:r>
      <w:r w:rsidRPr="004763C9">
        <w:rPr>
          <w:rFonts w:ascii="Book Antiqua" w:hAnsi="Book Antiqua"/>
          <w:i/>
          <w:lang w:val="es-ES"/>
        </w:rPr>
        <w:t xml:space="preserve">autos sacramentales </w:t>
      </w:r>
      <w:r w:rsidRPr="004763C9">
        <w:rPr>
          <w:rFonts w:ascii="Book Antiqua" w:hAnsi="Book Antiqua"/>
          <w:lang w:val="es-ES"/>
        </w:rPr>
        <w:t>en España en 1765 (cf. Schütz 2011: 205). E</w:t>
      </w:r>
      <w:r>
        <w:rPr>
          <w:rFonts w:ascii="Book Antiqua" w:hAnsi="Book Antiqua"/>
          <w:lang w:val="es-ES"/>
        </w:rPr>
        <w:t>s</w:t>
      </w:r>
      <w:r w:rsidRPr="004763C9">
        <w:rPr>
          <w:rFonts w:ascii="Book Antiqua" w:hAnsi="Book Antiqua"/>
          <w:lang w:val="es-ES"/>
        </w:rPr>
        <w:t xml:space="preserve"> de sumo interés debatir </w:t>
      </w:r>
      <w:r>
        <w:rPr>
          <w:rFonts w:ascii="Book Antiqua" w:hAnsi="Book Antiqua"/>
          <w:lang w:val="es-ES"/>
        </w:rPr>
        <w:t xml:space="preserve">sobre </w:t>
      </w:r>
      <w:r w:rsidRPr="004763C9">
        <w:rPr>
          <w:rFonts w:ascii="Book Antiqua" w:hAnsi="Book Antiqua"/>
          <w:lang w:val="es-ES"/>
        </w:rPr>
        <w:t>cómo perviven las técnicas y los medios de representación de la presencia, y si, por ejemplo, las formas de presencia se reducen a recursos de virtualidad para seguir existiendo. Además, se podría investigar hasta qué punto el concepto de ‚</w:t>
      </w:r>
      <w:proofErr w:type="gramStart"/>
      <w:r w:rsidRPr="004763C9">
        <w:rPr>
          <w:rFonts w:ascii="Book Antiqua" w:hAnsi="Book Antiqua"/>
          <w:lang w:val="es-ES"/>
        </w:rPr>
        <w:t>latencia‘ adquiere</w:t>
      </w:r>
      <w:proofErr w:type="gramEnd"/>
      <w:r w:rsidRPr="004763C9">
        <w:rPr>
          <w:rFonts w:ascii="Book Antiqua" w:hAnsi="Book Antiqua"/>
          <w:lang w:val="es-ES"/>
        </w:rPr>
        <w:t xml:space="preserve"> relevancia.</w:t>
      </w:r>
    </w:p>
    <w:p w:rsidR="008B6539" w:rsidRPr="004763C9" w:rsidRDefault="008B6539" w:rsidP="008B6539">
      <w:pPr>
        <w:spacing w:line="360" w:lineRule="auto"/>
        <w:ind w:firstLine="567"/>
        <w:jc w:val="both"/>
        <w:rPr>
          <w:rFonts w:ascii="Book Antiqua" w:hAnsi="Book Antiqua"/>
          <w:lang w:val="es-ES"/>
        </w:rPr>
      </w:pPr>
    </w:p>
    <w:p w:rsidR="008B6539" w:rsidRDefault="008B6539" w:rsidP="008B6539">
      <w:pPr>
        <w:spacing w:line="360" w:lineRule="auto"/>
        <w:rPr>
          <w:rFonts w:ascii="Book Antiqua" w:hAnsi="Book Antiqua"/>
          <w:b/>
          <w:lang w:val="es-ES"/>
        </w:rPr>
      </w:pPr>
      <w:r>
        <w:rPr>
          <w:rFonts w:ascii="Book Antiqua" w:hAnsi="Book Antiqua"/>
          <w:b/>
          <w:lang w:val="es-ES"/>
        </w:rPr>
        <w:t>P</w:t>
      </w:r>
      <w:r w:rsidRPr="004763C9">
        <w:rPr>
          <w:rFonts w:ascii="Book Antiqua" w:hAnsi="Book Antiqua"/>
          <w:b/>
          <w:lang w:val="es-ES"/>
        </w:rPr>
        <w:t xml:space="preserve">osibles </w:t>
      </w:r>
      <w:r>
        <w:rPr>
          <w:rFonts w:ascii="Book Antiqua" w:hAnsi="Book Antiqua"/>
          <w:b/>
          <w:lang w:val="es-ES"/>
        </w:rPr>
        <w:t>temas:</w:t>
      </w:r>
    </w:p>
    <w:p w:rsidR="008B6539" w:rsidRPr="008B6539" w:rsidRDefault="008B6539" w:rsidP="008B6539">
      <w:pPr>
        <w:pStyle w:val="Listenabsatz"/>
        <w:numPr>
          <w:ilvl w:val="0"/>
          <w:numId w:val="5"/>
        </w:numPr>
        <w:spacing w:line="360" w:lineRule="auto"/>
        <w:ind w:left="567" w:hanging="425"/>
        <w:rPr>
          <w:rFonts w:ascii="Book Antiqua" w:hAnsi="Book Antiqua"/>
          <w:lang w:val="es-ES"/>
        </w:rPr>
      </w:pPr>
      <w:r w:rsidRPr="008B6539">
        <w:rPr>
          <w:rFonts w:ascii="Book Antiqua" w:hAnsi="Book Antiqua"/>
          <w:lang w:val="es-ES"/>
        </w:rPr>
        <w:t>La importancia de los objetos vivificados (por ejemplo, figuras de piedra, pinturas/retratos) y el uso de técnicas de animación en el teatro temprano moderno. ¿Cómo abordan las obras el peligro implícito de cruzar la línea de la idolatría?</w:t>
      </w:r>
    </w:p>
    <w:p w:rsidR="008B6539" w:rsidRPr="004763C9" w:rsidRDefault="008B6539" w:rsidP="008B6539">
      <w:pPr>
        <w:pStyle w:val="Listenabsatz"/>
        <w:numPr>
          <w:ilvl w:val="0"/>
          <w:numId w:val="5"/>
        </w:numPr>
        <w:spacing w:line="360" w:lineRule="auto"/>
        <w:ind w:left="567" w:hanging="425"/>
        <w:jc w:val="both"/>
        <w:rPr>
          <w:rFonts w:ascii="Book Antiqua" w:hAnsi="Book Antiqua"/>
          <w:lang w:val="es-ES"/>
        </w:rPr>
      </w:pPr>
      <w:r w:rsidRPr="004763C9">
        <w:rPr>
          <w:rFonts w:ascii="Book Antiqua" w:hAnsi="Book Antiqua"/>
          <w:lang w:val="es-ES"/>
        </w:rPr>
        <w:t>La negociación de la presencia y la virtualidad en la poética y la teoría literaria de la temprana Edad Moderna.</w:t>
      </w:r>
    </w:p>
    <w:p w:rsidR="008B6539" w:rsidRPr="004763C9" w:rsidRDefault="008B6539" w:rsidP="008B6539">
      <w:pPr>
        <w:pStyle w:val="Listenabsatz"/>
        <w:numPr>
          <w:ilvl w:val="0"/>
          <w:numId w:val="5"/>
        </w:numPr>
        <w:spacing w:line="360" w:lineRule="auto"/>
        <w:ind w:left="567" w:hanging="425"/>
        <w:jc w:val="both"/>
        <w:rPr>
          <w:rFonts w:ascii="Book Antiqua" w:hAnsi="Book Antiqua"/>
          <w:lang w:val="es-ES"/>
        </w:rPr>
      </w:pPr>
      <w:r w:rsidRPr="004763C9">
        <w:rPr>
          <w:rFonts w:ascii="Book Antiqua" w:hAnsi="Book Antiqua"/>
          <w:lang w:val="es-ES"/>
        </w:rPr>
        <w:t xml:space="preserve">Especificidades culturales y solapamientos transculturales: ¿Qué diferencias y similitudes pueden encontrarse en la producción teatral de la presencia? ¿En qué medida los efectos de la presencia sirven como medio de constitución nacional, en relación con </w:t>
      </w:r>
      <w:r w:rsidRPr="004763C9">
        <w:rPr>
          <w:rFonts w:ascii="Book Antiqua" w:hAnsi="Book Antiqua"/>
          <w:lang w:val="es-ES"/>
        </w:rPr>
        <w:lastRenderedPageBreak/>
        <w:t xml:space="preserve">España, Francia e Italia, pero también a nivel </w:t>
      </w:r>
      <w:r>
        <w:rPr>
          <w:rFonts w:ascii="Book Antiqua" w:hAnsi="Book Antiqua"/>
          <w:lang w:val="es-ES"/>
        </w:rPr>
        <w:t xml:space="preserve"> global</w:t>
      </w:r>
      <w:r w:rsidRPr="004763C9">
        <w:rPr>
          <w:rFonts w:ascii="Book Antiqua" w:hAnsi="Book Antiqua"/>
          <w:lang w:val="es-ES"/>
        </w:rPr>
        <w:t xml:space="preserve">? ¿Cómo integran las autoras y autores la presencia y la virtualidad en el contexto colonial de sus obras? </w:t>
      </w:r>
    </w:p>
    <w:p w:rsidR="008B6539" w:rsidRPr="004763C9" w:rsidRDefault="008B6539" w:rsidP="008B6539">
      <w:pPr>
        <w:pStyle w:val="Listenabsatz"/>
        <w:numPr>
          <w:ilvl w:val="0"/>
          <w:numId w:val="5"/>
        </w:numPr>
        <w:spacing w:line="360" w:lineRule="auto"/>
        <w:ind w:left="567" w:hanging="425"/>
        <w:jc w:val="both"/>
        <w:rPr>
          <w:rFonts w:ascii="Book Antiqua" w:hAnsi="Book Antiqua"/>
          <w:lang w:val="es-ES"/>
        </w:rPr>
      </w:pPr>
      <w:r w:rsidRPr="004763C9">
        <w:rPr>
          <w:rFonts w:ascii="Book Antiqua" w:hAnsi="Book Antiqua"/>
          <w:lang w:val="es-ES"/>
        </w:rPr>
        <w:t xml:space="preserve">Similitudes y diferencias entre el teatro religioso y secular. ¿Cómo se logra </w:t>
      </w:r>
      <w:r>
        <w:rPr>
          <w:rFonts w:ascii="Book Antiqua" w:hAnsi="Book Antiqua"/>
          <w:lang w:val="es-ES"/>
        </w:rPr>
        <w:t>aunar</w:t>
      </w:r>
      <w:r w:rsidRPr="004763C9">
        <w:rPr>
          <w:rFonts w:ascii="Book Antiqua" w:hAnsi="Book Antiqua"/>
          <w:lang w:val="es-ES"/>
        </w:rPr>
        <w:t xml:space="preserve"> el teatro religioso y el secular en formatos híbridos?</w:t>
      </w:r>
    </w:p>
    <w:p w:rsidR="008B6539" w:rsidRPr="004763C9" w:rsidRDefault="008B6539" w:rsidP="008B6539">
      <w:pPr>
        <w:spacing w:line="360" w:lineRule="auto"/>
        <w:ind w:left="360"/>
        <w:jc w:val="both"/>
        <w:rPr>
          <w:rFonts w:ascii="Book Antiqua" w:hAnsi="Book Antiqua"/>
          <w:lang w:val="es-ES"/>
        </w:rPr>
      </w:pPr>
    </w:p>
    <w:p w:rsidR="008B6539" w:rsidRPr="008B6539" w:rsidRDefault="008B6539" w:rsidP="008B6539">
      <w:pPr>
        <w:spacing w:line="360" w:lineRule="auto"/>
        <w:jc w:val="both"/>
        <w:rPr>
          <w:rFonts w:ascii="Book Antiqua" w:hAnsi="Book Antiqua"/>
          <w:lang w:val="es-ES"/>
        </w:rPr>
      </w:pPr>
      <w:r w:rsidRPr="004763C9">
        <w:rPr>
          <w:rFonts w:ascii="Book Antiqua" w:hAnsi="Book Antiqua"/>
          <w:lang w:val="es-ES"/>
        </w:rPr>
        <w:t xml:space="preserve">La lengua de trabajo de la sección es el </w:t>
      </w:r>
      <w:r w:rsidRPr="008B6539">
        <w:rPr>
          <w:rFonts w:ascii="Book Antiqua" w:hAnsi="Book Antiqua"/>
          <w:b/>
          <w:lang w:val="es-ES"/>
        </w:rPr>
        <w:t>alemán</w:t>
      </w:r>
      <w:r w:rsidRPr="004763C9">
        <w:rPr>
          <w:rFonts w:ascii="Book Antiqua" w:hAnsi="Book Antiqua"/>
          <w:lang w:val="es-ES"/>
        </w:rPr>
        <w:t xml:space="preserve">, pero también se aceptan contribuciones en </w:t>
      </w:r>
      <w:r w:rsidRPr="008B6539">
        <w:rPr>
          <w:rFonts w:ascii="Book Antiqua" w:hAnsi="Book Antiqua"/>
          <w:b/>
          <w:lang w:val="es-ES"/>
        </w:rPr>
        <w:t>español o francés</w:t>
      </w:r>
      <w:r>
        <w:rPr>
          <w:rFonts w:ascii="Book Antiqua" w:hAnsi="Book Antiqua"/>
          <w:lang w:val="es-ES"/>
        </w:rPr>
        <w:t>. Envíe su resumen (máx.</w:t>
      </w:r>
      <w:r w:rsidRPr="004763C9">
        <w:rPr>
          <w:rFonts w:ascii="Book Antiqua" w:hAnsi="Book Antiqua"/>
          <w:lang w:val="es-ES"/>
        </w:rPr>
        <w:t xml:space="preserve"> 500 palabras más bibliografía) </w:t>
      </w:r>
      <w:r>
        <w:rPr>
          <w:rFonts w:ascii="Book Antiqua" w:hAnsi="Book Antiqua"/>
          <w:lang w:val="es-ES"/>
        </w:rPr>
        <w:t xml:space="preserve">hasta el </w:t>
      </w:r>
      <w:r w:rsidRPr="008B6539">
        <w:rPr>
          <w:rFonts w:ascii="Book Antiqua" w:hAnsi="Book Antiqua"/>
          <w:b/>
          <w:lang w:val="es-ES"/>
        </w:rPr>
        <w:t>31/1</w:t>
      </w:r>
      <w:r w:rsidR="001725FB">
        <w:rPr>
          <w:rFonts w:ascii="Book Antiqua" w:hAnsi="Book Antiqua"/>
          <w:b/>
          <w:lang w:val="es-ES"/>
        </w:rPr>
        <w:t>/2023</w:t>
      </w:r>
      <w:bookmarkStart w:id="0" w:name="_GoBack"/>
      <w:bookmarkEnd w:id="0"/>
      <w:r>
        <w:rPr>
          <w:rFonts w:ascii="Book Antiqua" w:hAnsi="Book Antiqua"/>
          <w:lang w:val="es-ES"/>
        </w:rPr>
        <w:t xml:space="preserve"> </w:t>
      </w:r>
      <w:r w:rsidRPr="004763C9">
        <w:rPr>
          <w:rFonts w:ascii="Book Antiqua" w:hAnsi="Book Antiqua"/>
          <w:lang w:val="es-ES"/>
        </w:rPr>
        <w:t>por correo electrónico a:</w:t>
      </w:r>
      <w:r>
        <w:rPr>
          <w:rFonts w:ascii="Book Antiqua" w:hAnsi="Book Antiqua"/>
          <w:lang w:val="es-ES"/>
        </w:rPr>
        <w:t xml:space="preserve"> </w:t>
      </w:r>
      <w:r w:rsidRPr="00BB518A">
        <w:rPr>
          <w:rFonts w:ascii="Book Antiqua" w:hAnsi="Book Antiqua"/>
          <w:lang w:val="en-US"/>
        </w:rPr>
        <w:t>Dra. Jenny Augustin (jenny.augustin@hhu.de)</w:t>
      </w:r>
      <w:r>
        <w:rPr>
          <w:rFonts w:ascii="Book Antiqua" w:hAnsi="Book Antiqua"/>
          <w:lang w:val="en-US"/>
        </w:rPr>
        <w:t xml:space="preserve"> y </w:t>
      </w:r>
      <w:r w:rsidRPr="004763C9">
        <w:rPr>
          <w:rFonts w:ascii="Book Antiqua" w:hAnsi="Book Antiqua"/>
          <w:lang w:val="es-ES"/>
        </w:rPr>
        <w:t>Dra. Johanna Abel (abel@zfl-berlin.org)</w:t>
      </w:r>
    </w:p>
    <w:sectPr w:rsidR="008B6539" w:rsidRPr="008B65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745"/>
    <w:multiLevelType w:val="hybridMultilevel"/>
    <w:tmpl w:val="B3F2BD58"/>
    <w:lvl w:ilvl="0" w:tplc="84145AA0">
      <w:start w:val="3"/>
      <w:numFmt w:val="ordinal"/>
      <w:lvlText w:val="%11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7E97"/>
    <w:multiLevelType w:val="multilevel"/>
    <w:tmpl w:val="924CF93A"/>
    <w:lvl w:ilvl="0">
      <w:start w:val="1"/>
      <w:numFmt w:val="decimal"/>
      <w:pStyle w:val="Unterti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2A0377"/>
    <w:multiLevelType w:val="hybridMultilevel"/>
    <w:tmpl w:val="3B0CC96C"/>
    <w:lvl w:ilvl="0" w:tplc="C5C2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5C7E1A">
      <w:start w:val="1"/>
      <w:numFmt w:val="lowerLetter"/>
      <w:lvlText w:val="%2."/>
      <w:lvlJc w:val="left"/>
      <w:pPr>
        <w:ind w:left="1440" w:hanging="360"/>
      </w:pPr>
    </w:lvl>
    <w:lvl w:ilvl="2" w:tplc="3E000A5E">
      <w:start w:val="1"/>
      <w:numFmt w:val="lowerRoman"/>
      <w:lvlText w:val="%3."/>
      <w:lvlJc w:val="right"/>
      <w:pPr>
        <w:ind w:left="2160" w:hanging="180"/>
      </w:pPr>
    </w:lvl>
    <w:lvl w:ilvl="3" w:tplc="F1FA9A6A">
      <w:start w:val="1"/>
      <w:numFmt w:val="decimal"/>
      <w:lvlText w:val="%4."/>
      <w:lvlJc w:val="left"/>
      <w:pPr>
        <w:ind w:left="2880" w:hanging="360"/>
      </w:pPr>
    </w:lvl>
    <w:lvl w:ilvl="4" w:tplc="7F042A46">
      <w:start w:val="1"/>
      <w:numFmt w:val="lowerLetter"/>
      <w:lvlText w:val="%5."/>
      <w:lvlJc w:val="left"/>
      <w:pPr>
        <w:ind w:left="3600" w:hanging="360"/>
      </w:pPr>
    </w:lvl>
    <w:lvl w:ilvl="5" w:tplc="447CB204">
      <w:start w:val="1"/>
      <w:numFmt w:val="lowerRoman"/>
      <w:lvlText w:val="%6."/>
      <w:lvlJc w:val="right"/>
      <w:pPr>
        <w:ind w:left="4320" w:hanging="180"/>
      </w:pPr>
    </w:lvl>
    <w:lvl w:ilvl="6" w:tplc="DE0896F2">
      <w:start w:val="1"/>
      <w:numFmt w:val="decimal"/>
      <w:lvlText w:val="%7."/>
      <w:lvlJc w:val="left"/>
      <w:pPr>
        <w:ind w:left="5040" w:hanging="360"/>
      </w:pPr>
    </w:lvl>
    <w:lvl w:ilvl="7" w:tplc="46F6B2DE">
      <w:start w:val="1"/>
      <w:numFmt w:val="lowerLetter"/>
      <w:lvlText w:val="%8."/>
      <w:lvlJc w:val="left"/>
      <w:pPr>
        <w:ind w:left="5760" w:hanging="360"/>
      </w:pPr>
    </w:lvl>
    <w:lvl w:ilvl="8" w:tplc="89ECCB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73C2E"/>
    <w:multiLevelType w:val="hybridMultilevel"/>
    <w:tmpl w:val="DB10B4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D08D4"/>
    <w:multiLevelType w:val="hybridMultilevel"/>
    <w:tmpl w:val="D95C3A8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39"/>
    <w:rsid w:val="001725FB"/>
    <w:rsid w:val="00425DE3"/>
    <w:rsid w:val="006E4C95"/>
    <w:rsid w:val="008B6539"/>
    <w:rsid w:val="00A25483"/>
    <w:rsid w:val="00AB4965"/>
    <w:rsid w:val="00C87317"/>
    <w:rsid w:val="00E01C81"/>
    <w:rsid w:val="00E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4C379-F9CC-4294-8A0D-9D90896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539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utoRedefine/>
    <w:uiPriority w:val="99"/>
    <w:unhideWhenUsed/>
    <w:qFormat/>
    <w:rsid w:val="00A25483"/>
    <w:rPr>
      <w:rFonts w:ascii="Times New Roman" w:hAnsi="Times New Roman"/>
      <w:sz w:val="20"/>
      <w:szCs w:val="20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A25483"/>
    <w:pPr>
      <w:keepLines/>
      <w:widowControl w:val="0"/>
      <w:jc w:val="both"/>
    </w:pPr>
    <w:rPr>
      <w:rFonts w:ascii="Times New Roman" w:hAnsi="Times New Roman"/>
      <w:sz w:val="20"/>
    </w:rPr>
  </w:style>
  <w:style w:type="character" w:customStyle="1" w:styleId="FunotentextZchn">
    <w:name w:val="Fußnotentext Zchn"/>
    <w:link w:val="Funotentext"/>
    <w:uiPriority w:val="99"/>
    <w:rsid w:val="00A25483"/>
    <w:rPr>
      <w:rFonts w:ascii="Times New Roman" w:hAnsi="Times New Roman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76238"/>
    <w:pPr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6238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6238"/>
    <w:pPr>
      <w:numPr>
        <w:numId w:val="2"/>
      </w:numPr>
      <w:spacing w:after="160"/>
      <w:ind w:hanging="360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6238"/>
    <w:rPr>
      <w:rFonts w:ascii="Times New Roman" w:eastAsiaTheme="minorEastAsia" w:hAnsi="Times New Roman"/>
      <w:b/>
      <w:spacing w:val="15"/>
      <w:sz w:val="24"/>
    </w:rPr>
  </w:style>
  <w:style w:type="paragraph" w:styleId="Listenabsatz">
    <w:name w:val="List Paragraph"/>
    <w:basedOn w:val="Standard"/>
    <w:uiPriority w:val="34"/>
    <w:qFormat/>
    <w:rsid w:val="008B653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B65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2910</Characters>
  <Application>Microsoft Office Word</Application>
  <DocSecurity>0</DocSecurity>
  <Lines>24</Lines>
  <Paragraphs>6</Paragraphs>
  <ScaleCrop>false</ScaleCrop>
  <Company>Philosophische Fakultaet HHUD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Augustin</dc:creator>
  <cp:keywords/>
  <dc:description/>
  <cp:lastModifiedBy>Jenny Augustin</cp:lastModifiedBy>
  <cp:revision>2</cp:revision>
  <dcterms:created xsi:type="dcterms:W3CDTF">2023-01-03T09:42:00Z</dcterms:created>
  <dcterms:modified xsi:type="dcterms:W3CDTF">2023-01-03T09:42:00Z</dcterms:modified>
</cp:coreProperties>
</file>